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E28780">
      <w:pPr>
        <w:jc w:val="right"/>
        <w:rPr>
          <w:rFonts w:hint="eastAsia" w:eastAsia="宋体"/>
          <w:sz w:val="52"/>
          <w:szCs w:val="52"/>
        </w:rPr>
      </w:pPr>
      <w:r>
        <w:rPr>
          <w:rFonts w:hint="eastAsia" w:eastAsia="宋体"/>
          <w:sz w:val="52"/>
          <w:szCs w:val="52"/>
        </w:rPr>
        <w:t>美国德克萨斯大学奥斯汀分校</w:t>
      </w:r>
    </w:p>
    <w:p w14:paraId="09D8A09D">
      <w:pPr>
        <w:jc w:val="right"/>
        <w:rPr>
          <w:rFonts w:eastAsia="宋体"/>
          <w:sz w:val="52"/>
          <w:szCs w:val="52"/>
        </w:rPr>
      </w:pPr>
      <w:r>
        <w:rPr>
          <w:rFonts w:hint="default" w:eastAsia="宋体"/>
          <w:sz w:val="52"/>
          <w:szCs w:val="52"/>
        </w:rPr>
        <w:t>202</w:t>
      </w:r>
      <w:r>
        <w:rPr>
          <w:rFonts w:hint="eastAsia" w:eastAsia="宋体"/>
          <w:sz w:val="52"/>
          <w:szCs w:val="52"/>
          <w:lang w:val="en-US" w:eastAsia="zh-CN"/>
        </w:rPr>
        <w:t>5暑期</w:t>
      </w:r>
      <w:r>
        <w:rPr>
          <w:rFonts w:hint="eastAsia" w:eastAsia="宋体"/>
          <w:sz w:val="52"/>
          <w:szCs w:val="52"/>
          <w:lang w:val="en-US" w:eastAsia="zh-Hans"/>
        </w:rPr>
        <w:t>专业学分交流</w:t>
      </w:r>
      <w:r>
        <w:rPr>
          <w:rFonts w:hint="eastAsia" w:eastAsia="宋体"/>
          <w:sz w:val="52"/>
          <w:szCs w:val="52"/>
        </w:rPr>
        <w:t>项目</w:t>
      </w:r>
    </w:p>
    <w:p w14:paraId="23EBA1D0">
      <w:pPr>
        <w:wordWrap w:val="0"/>
        <w:jc w:val="right"/>
        <w:rPr>
          <w:rFonts w:eastAsia="宋体"/>
          <w:sz w:val="32"/>
          <w:szCs w:val="32"/>
        </w:rPr>
      </w:pPr>
      <w:r>
        <w:rPr>
          <w:rFonts w:hint="eastAsia" w:eastAsia="宋体"/>
          <w:sz w:val="32"/>
          <w:szCs w:val="32"/>
        </w:rPr>
        <w:t>University of Texas at Austin</w:t>
      </w:r>
      <w:r>
        <w:rPr>
          <w:rFonts w:eastAsia="宋体"/>
          <w:sz w:val="32"/>
          <w:szCs w:val="32"/>
        </w:rPr>
        <w:t xml:space="preserve"> (202</w:t>
      </w:r>
      <w:r>
        <w:rPr>
          <w:rFonts w:hint="eastAsia" w:eastAsia="宋体"/>
          <w:sz w:val="32"/>
          <w:szCs w:val="32"/>
          <w:lang w:val="en-US" w:eastAsia="zh-CN"/>
        </w:rPr>
        <w:t>5</w:t>
      </w:r>
      <w:r>
        <w:rPr>
          <w:rFonts w:eastAsia="宋体"/>
          <w:sz w:val="32"/>
          <w:szCs w:val="32"/>
        </w:rPr>
        <w:t xml:space="preserve"> </w:t>
      </w:r>
      <w:r>
        <w:rPr>
          <w:rFonts w:hint="eastAsia" w:eastAsia="宋体"/>
          <w:sz w:val="32"/>
          <w:szCs w:val="32"/>
          <w:lang w:val="en-US" w:eastAsia="zh-CN"/>
        </w:rPr>
        <w:t>Summer</w:t>
      </w:r>
      <w:r>
        <w:rPr>
          <w:rFonts w:eastAsia="宋体"/>
          <w:sz w:val="32"/>
          <w:szCs w:val="32"/>
        </w:rPr>
        <w:t>)</w:t>
      </w:r>
    </w:p>
    <w:p w14:paraId="4D97B39E">
      <w:pPr>
        <w:jc w:val="right"/>
        <w:rPr>
          <w:rFonts w:eastAsia="宋体"/>
          <w:sz w:val="32"/>
          <w:szCs w:val="32"/>
        </w:rPr>
      </w:pPr>
    </w:p>
    <w:p w14:paraId="00C64609">
      <w:pPr>
        <w:jc w:val="right"/>
        <w:rPr>
          <w:rFonts w:eastAsia="宋体"/>
          <w:sz w:val="32"/>
          <w:szCs w:val="32"/>
        </w:rPr>
      </w:pPr>
    </w:p>
    <w:p w14:paraId="07383242">
      <w:pPr>
        <w:jc w:val="right"/>
        <w:rPr>
          <w:rFonts w:eastAsia="宋体"/>
          <w:sz w:val="32"/>
          <w:szCs w:val="32"/>
        </w:rPr>
      </w:pPr>
    </w:p>
    <w:p w14:paraId="533AEBE9">
      <w:pPr>
        <w:jc w:val="right"/>
        <w:rPr>
          <w:rFonts w:eastAsia="宋体"/>
          <w:sz w:val="32"/>
          <w:szCs w:val="32"/>
        </w:rPr>
      </w:pPr>
    </w:p>
    <w:p w14:paraId="43BA4E0A">
      <w:pPr>
        <w:jc w:val="both"/>
        <w:rPr>
          <w:rFonts w:eastAsia="宋体"/>
          <w:sz w:val="32"/>
          <w:szCs w:val="32"/>
        </w:rPr>
      </w:pPr>
    </w:p>
    <w:p w14:paraId="6532A8C3">
      <w:pPr>
        <w:jc w:val="both"/>
        <w:rPr>
          <w:rFonts w:eastAsia="宋体"/>
          <w:sz w:val="32"/>
          <w:szCs w:val="32"/>
        </w:rPr>
      </w:pPr>
    </w:p>
    <w:p w14:paraId="1A0323FC">
      <w:pPr>
        <w:jc w:val="both"/>
        <w:rPr>
          <w:rFonts w:eastAsia="宋体"/>
          <w:sz w:val="32"/>
          <w:szCs w:val="32"/>
        </w:rPr>
      </w:pPr>
    </w:p>
    <w:p w14:paraId="7B1F09D9">
      <w:pPr>
        <w:jc w:val="both"/>
        <w:rPr>
          <w:rFonts w:eastAsia="宋体"/>
          <w:sz w:val="32"/>
          <w:szCs w:val="32"/>
        </w:rPr>
      </w:pPr>
    </w:p>
    <w:p w14:paraId="30F86DBA">
      <w:pPr>
        <w:jc w:val="both"/>
        <w:rPr>
          <w:rFonts w:eastAsia="宋体"/>
          <w:sz w:val="32"/>
          <w:szCs w:val="32"/>
        </w:rPr>
      </w:pPr>
    </w:p>
    <w:p w14:paraId="379B3F18">
      <w:pPr>
        <w:jc w:val="both"/>
        <w:rPr>
          <w:rFonts w:eastAsia="宋体"/>
          <w:sz w:val="32"/>
          <w:szCs w:val="32"/>
        </w:rPr>
      </w:pPr>
    </w:p>
    <w:p w14:paraId="21004DD1">
      <w:pPr>
        <w:jc w:val="left"/>
        <w:rPr>
          <w:rFonts w:eastAsia="宋体"/>
          <w:sz w:val="32"/>
          <w:szCs w:val="32"/>
        </w:rPr>
      </w:pPr>
      <w:r>
        <w:rPr>
          <w:rFonts w:hint="eastAsia" w:eastAsia="宋体"/>
          <w:sz w:val="32"/>
          <w:szCs w:val="32"/>
        </w:rPr>
        <w:t>项目类型</w:t>
      </w:r>
      <w:r>
        <w:rPr>
          <w:rFonts w:hint="default" w:eastAsia="宋体"/>
          <w:sz w:val="32"/>
          <w:szCs w:val="32"/>
        </w:rPr>
        <w:t>：</w:t>
      </w:r>
      <w:r>
        <w:rPr>
          <w:rFonts w:hint="eastAsia" w:eastAsia="宋体"/>
          <w:sz w:val="32"/>
          <w:szCs w:val="32"/>
          <w:lang w:val="en-US" w:eastAsia="zh-CN"/>
        </w:rPr>
        <w:t>暑期</w:t>
      </w:r>
      <w:r>
        <w:rPr>
          <w:rFonts w:hint="eastAsia" w:eastAsia="宋体"/>
          <w:sz w:val="32"/>
          <w:szCs w:val="32"/>
          <w:lang w:val="en-US" w:eastAsia="zh-Hans"/>
        </w:rPr>
        <w:t>专业课程</w:t>
      </w:r>
    </w:p>
    <w:p w14:paraId="41699833">
      <w:pPr>
        <w:jc w:val="left"/>
        <w:rPr>
          <w:rFonts w:hint="default" w:eastAsia="宋体"/>
          <w:sz w:val="32"/>
          <w:szCs w:val="32"/>
          <w:lang w:eastAsia="zh-Hans"/>
        </w:rPr>
      </w:pPr>
      <w:r>
        <w:rPr>
          <w:rFonts w:hint="eastAsia" w:eastAsia="宋体"/>
          <w:sz w:val="32"/>
          <w:szCs w:val="32"/>
        </w:rPr>
        <w:t>项目时间：</w:t>
      </w:r>
      <w:r>
        <w:rPr>
          <w:rFonts w:hint="eastAsia" w:eastAsia="宋体"/>
          <w:sz w:val="32"/>
          <w:szCs w:val="32"/>
          <w:lang w:val="en-US" w:eastAsia="zh-CN"/>
        </w:rPr>
        <w:t>2025年7</w:t>
      </w:r>
      <w:r>
        <w:rPr>
          <w:rFonts w:hint="eastAsia" w:eastAsia="宋体"/>
          <w:sz w:val="32"/>
          <w:szCs w:val="32"/>
          <w:lang w:val="en-US" w:eastAsia="zh-Hans"/>
        </w:rPr>
        <w:t>月</w:t>
      </w:r>
      <w:r>
        <w:rPr>
          <w:rFonts w:hint="eastAsia" w:eastAsia="宋体"/>
          <w:sz w:val="32"/>
          <w:szCs w:val="32"/>
          <w:lang w:val="en-US" w:eastAsia="zh-CN"/>
        </w:rPr>
        <w:t>14</w:t>
      </w:r>
      <w:r>
        <w:rPr>
          <w:rFonts w:hint="default" w:eastAsia="宋体"/>
          <w:sz w:val="32"/>
          <w:szCs w:val="32"/>
          <w:lang w:eastAsia="zh-Hans"/>
        </w:rPr>
        <w:t>日-</w:t>
      </w:r>
      <w:r>
        <w:rPr>
          <w:rFonts w:hint="eastAsia" w:eastAsia="宋体"/>
          <w:sz w:val="32"/>
          <w:szCs w:val="32"/>
          <w:lang w:val="en-US" w:eastAsia="zh-CN"/>
        </w:rPr>
        <w:t>8</w:t>
      </w:r>
      <w:r>
        <w:rPr>
          <w:rFonts w:hint="eastAsia" w:eastAsia="宋体"/>
          <w:sz w:val="32"/>
          <w:szCs w:val="32"/>
          <w:lang w:val="en-US" w:eastAsia="zh-Hans"/>
        </w:rPr>
        <w:t>月</w:t>
      </w:r>
      <w:r>
        <w:rPr>
          <w:rFonts w:hint="eastAsia" w:eastAsia="宋体"/>
          <w:sz w:val="32"/>
          <w:szCs w:val="32"/>
          <w:lang w:val="en-US" w:eastAsia="zh-CN"/>
        </w:rPr>
        <w:t>8</w:t>
      </w:r>
      <w:r>
        <w:rPr>
          <w:rFonts w:hint="default" w:eastAsia="宋体"/>
          <w:sz w:val="32"/>
          <w:szCs w:val="32"/>
          <w:lang w:eastAsia="zh-Hans"/>
        </w:rPr>
        <w:t>日</w:t>
      </w:r>
    </w:p>
    <w:p w14:paraId="4DE9E05E">
      <w:pPr>
        <w:jc w:val="left"/>
        <w:rPr>
          <w:rFonts w:hint="default" w:eastAsia="宋体"/>
          <w:sz w:val="32"/>
          <w:szCs w:val="32"/>
          <w:lang w:val="en-US" w:eastAsia="zh-CN"/>
        </w:rPr>
      </w:pPr>
      <w:r>
        <w:rPr>
          <w:rFonts w:hint="eastAsia" w:eastAsia="宋体"/>
          <w:sz w:val="32"/>
          <w:szCs w:val="32"/>
        </w:rPr>
        <w:t>报名截至：202</w:t>
      </w:r>
      <w:r>
        <w:rPr>
          <w:rFonts w:hint="eastAsia" w:eastAsia="宋体"/>
          <w:sz w:val="32"/>
          <w:szCs w:val="32"/>
          <w:lang w:val="en-US" w:eastAsia="zh-CN"/>
        </w:rPr>
        <w:t>5</w:t>
      </w:r>
      <w:r>
        <w:rPr>
          <w:rFonts w:hint="eastAsia" w:eastAsia="宋体"/>
          <w:sz w:val="32"/>
          <w:szCs w:val="32"/>
        </w:rPr>
        <w:t>.</w:t>
      </w:r>
      <w:r>
        <w:rPr>
          <w:rFonts w:hint="eastAsia" w:eastAsia="宋体"/>
          <w:sz w:val="32"/>
          <w:szCs w:val="32"/>
          <w:lang w:val="en-US" w:eastAsia="zh-CN"/>
        </w:rPr>
        <w:t>4</w:t>
      </w:r>
      <w:r>
        <w:rPr>
          <w:rFonts w:hint="eastAsia" w:eastAsia="宋体"/>
          <w:sz w:val="32"/>
          <w:szCs w:val="32"/>
        </w:rPr>
        <w:t>.</w:t>
      </w:r>
      <w:r>
        <w:rPr>
          <w:rFonts w:hint="eastAsia" w:eastAsia="宋体"/>
          <w:sz w:val="32"/>
          <w:szCs w:val="32"/>
          <w:lang w:val="en-US" w:eastAsia="zh-CN"/>
        </w:rPr>
        <w:t>25</w:t>
      </w:r>
    </w:p>
    <w:p w14:paraId="553E8ADD">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43A95283">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40D36B9D">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3160F3D0">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30DACC69">
      <w:pPr>
        <w:pStyle w:val="62"/>
        <w:widowControl/>
        <w:numPr>
          <w:ilvl w:val="0"/>
          <w:numId w:val="0"/>
        </w:numPr>
        <w:spacing w:line="360" w:lineRule="auto"/>
        <w:ind w:leftChars="0"/>
        <w:jc w:val="left"/>
        <w:rPr>
          <w:rFonts w:hint="eastAsia" w:asciiTheme="minorHAnsi" w:hAnsiTheme="minorHAnsi" w:eastAsiaTheme="majorEastAsia" w:cstheme="minorHAnsi"/>
          <w:szCs w:val="21"/>
          <w:lang w:val="en-US" w:eastAsia="zh-CN"/>
        </w:rPr>
      </w:pPr>
    </w:p>
    <w:p w14:paraId="6547BD35">
      <w:pPr>
        <w:pStyle w:val="62"/>
        <w:widowControl/>
        <w:numPr>
          <w:ilvl w:val="0"/>
          <w:numId w:val="0"/>
        </w:numPr>
        <w:spacing w:line="360" w:lineRule="auto"/>
        <w:ind w:leftChars="0"/>
        <w:jc w:val="left"/>
        <w:rPr>
          <w:rFonts w:hint="eastAsia" w:asciiTheme="minorHAnsi" w:hAnsiTheme="minorHAnsi" w:eastAsiaTheme="majorEastAsia" w:cstheme="minorHAnsi"/>
          <w:szCs w:val="21"/>
          <w:lang w:val="en-US" w:eastAsia="zh-CN"/>
        </w:rPr>
      </w:pPr>
    </w:p>
    <w:p w14:paraId="6CEE7444">
      <w:pPr>
        <w:pStyle w:val="3"/>
        <w:keepNext w:val="0"/>
        <w:keepLines w:val="0"/>
        <w:pageBreakBefore w:val="0"/>
        <w:widowControl/>
        <w:suppressLineNumbers w:val="0"/>
        <w:kinsoku/>
        <w:wordWrap/>
        <w:overflowPunct/>
        <w:topLinePunct w:val="0"/>
        <w:autoSpaceDE/>
        <w:autoSpaceDN/>
        <w:bidi w:val="0"/>
        <w:adjustRightInd/>
        <w:spacing w:beforeAutospacing="0" w:afterAutospacing="0" w:line="288" w:lineRule="auto"/>
        <w:ind w:left="0" w:leftChars="0" w:right="0" w:rightChars="0"/>
        <w:jc w:val="left"/>
        <w:textAlignment w:val="auto"/>
        <w:outlineLvl w:val="9"/>
        <w:rPr>
          <w:rFonts w:hint="eastAsia" w:ascii="songti tc" w:hAnsi="songti tc" w:eastAsia="songti tc" w:cs="songti tc"/>
          <w:b/>
          <w:color w:val="000000"/>
          <w:kern w:val="0"/>
          <w:sz w:val="21"/>
          <w:szCs w:val="21"/>
          <w:lang w:val="en-US" w:eastAsia="zh-CN" w:bidi="ar"/>
        </w:rPr>
      </w:pPr>
    </w:p>
    <w:p w14:paraId="75DAF306">
      <w:pPr>
        <w:pStyle w:val="3"/>
        <w:keepNext w:val="0"/>
        <w:keepLines w:val="0"/>
        <w:pageBreakBefore w:val="0"/>
        <w:widowControl/>
        <w:suppressLineNumbers w:val="0"/>
        <w:kinsoku/>
        <w:wordWrap/>
        <w:overflowPunct/>
        <w:topLinePunct w:val="0"/>
        <w:autoSpaceDE/>
        <w:autoSpaceDN/>
        <w:bidi w:val="0"/>
        <w:adjustRightInd/>
        <w:spacing w:beforeAutospacing="0" w:afterAutospacing="0" w:line="360" w:lineRule="auto"/>
        <w:ind w:left="0" w:leftChars="0" w:right="0" w:rightChars="0"/>
        <w:jc w:val="both"/>
        <w:textAlignment w:val="auto"/>
        <w:outlineLvl w:val="9"/>
      </w:pPr>
      <w:r>
        <w:rPr>
          <w:rFonts w:hint="eastAsia" w:ascii="songti tc" w:hAnsi="songti tc" w:eastAsia="songti tc" w:cs="songti tc"/>
          <w:b/>
          <w:color w:val="000000"/>
          <w:kern w:val="0"/>
          <w:sz w:val="21"/>
          <w:szCs w:val="21"/>
          <w:lang w:val="en-US" w:eastAsia="zh-CN" w:bidi="ar"/>
        </w:rPr>
        <w:t>一、项目综述</w:t>
      </w:r>
    </w:p>
    <w:p w14:paraId="395B314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ajorEastAsia" w:cstheme="minorHAnsi"/>
          <w:kern w:val="0"/>
          <w:sz w:val="21"/>
          <w:szCs w:val="21"/>
          <w:lang w:val="en-US" w:eastAsia="zh-CN" w:bidi="ar-SA"/>
        </w:rPr>
      </w:pPr>
      <w:r>
        <w:rPr>
          <w:rFonts w:hint="eastAsia" w:asciiTheme="minorHAnsi" w:hAnsiTheme="minorHAnsi" w:eastAsiaTheme="majorEastAsia" w:cstheme="minorHAnsi"/>
          <w:kern w:val="0"/>
          <w:sz w:val="21"/>
          <w:szCs w:val="21"/>
          <w:lang w:val="en-US" w:eastAsia="zh-CN" w:bidi="ar-SA"/>
        </w:rPr>
        <w:t>德克萨斯大学奥斯汀分校（University of Texas at Austin），简称UT-Austin，是德克萨斯大学系统的旗舰校区，是一所世界著名的顶尖公立研究型大学，也是全美最负盛名的“公立常春藤”最初八所院校之一。</w:t>
      </w:r>
      <w:r>
        <w:rPr>
          <w:rFonts w:hint="eastAsia" w:eastAsiaTheme="majorEastAsia" w:cstheme="minorHAnsi"/>
          <w:kern w:val="0"/>
          <w:sz w:val="21"/>
          <w:szCs w:val="21"/>
          <w:lang w:val="en-US" w:eastAsia="zh-Hans" w:bidi="ar-SA"/>
        </w:rPr>
        <w:t>学校</w:t>
      </w:r>
      <w:r>
        <w:rPr>
          <w:rFonts w:hint="eastAsia" w:asciiTheme="minorHAnsi" w:hAnsiTheme="minorHAnsi" w:eastAsiaTheme="majorEastAsia" w:cstheme="minorHAnsi"/>
          <w:kern w:val="0"/>
          <w:sz w:val="21"/>
          <w:szCs w:val="21"/>
          <w:lang w:val="en-US" w:eastAsia="zh-CN" w:bidi="ar-SA"/>
        </w:rPr>
        <w:t>位于美国第二大州-德克萨斯州的首府奥斯汀，以商业和高科技为主，半导体和计算机产业发展迅猛，是众多高科技企业所在的高科技城，其中包括DELL 电脑、IBM、德州仪器等，被誉为“硅丘”。</w:t>
      </w:r>
    </w:p>
    <w:p w14:paraId="5D44238C">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ajorEastAsia" w:cstheme="minorHAnsi"/>
          <w:kern w:val="0"/>
          <w:sz w:val="21"/>
          <w:szCs w:val="21"/>
          <w:lang w:val="en-US" w:eastAsia="zh-CN" w:bidi="ar-SA"/>
        </w:rPr>
      </w:pPr>
      <w:r>
        <w:rPr>
          <w:rFonts w:hint="default" w:asciiTheme="minorHAnsi" w:hAnsiTheme="minorHAnsi" w:eastAsiaTheme="majorEastAsia" w:cstheme="minorHAnsi"/>
          <w:kern w:val="0"/>
          <w:sz w:val="21"/>
          <w:szCs w:val="21"/>
          <w:lang w:val="en-US" w:eastAsia="zh-CN" w:bidi="ar-SA"/>
        </w:rPr>
        <w:t>德克萨斯大学</w:t>
      </w:r>
      <w:r>
        <w:rPr>
          <w:rFonts w:hint="eastAsia" w:asciiTheme="minorHAnsi" w:hAnsiTheme="minorHAnsi" w:eastAsiaTheme="majorEastAsia" w:cstheme="minorHAnsi"/>
          <w:kern w:val="0"/>
          <w:sz w:val="21"/>
          <w:szCs w:val="21"/>
          <w:lang w:val="en-US" w:eastAsia="zh-CN" w:bidi="ar-SA"/>
        </w:rPr>
        <w:t>奥斯汀分校拥有18所学院，在校学生超过51000人，该校是知名的国际教育卓越学校，有超过7000国际学生与学者，1000ESL学生，4000多留学生。其教学与研究水平世界知名，在英语教学的课程设置和教学实践方面尤其突出。</w:t>
      </w:r>
    </w:p>
    <w:p w14:paraId="0F798678">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default" w:asciiTheme="minorHAnsi" w:hAnsiTheme="minorHAnsi" w:eastAsiaTheme="majorEastAsia" w:cstheme="minorHAnsi"/>
          <w:kern w:val="0"/>
          <w:sz w:val="21"/>
          <w:szCs w:val="21"/>
          <w:lang w:eastAsia="zh-Hans" w:bidi="ar-SA"/>
        </w:rPr>
      </w:pPr>
      <w:r>
        <w:rPr>
          <w:rFonts w:hint="eastAsia" w:asciiTheme="minorHAnsi" w:hAnsiTheme="minorHAnsi" w:eastAsiaTheme="majorEastAsia" w:cstheme="minorHAnsi"/>
          <w:kern w:val="0"/>
          <w:sz w:val="21"/>
          <w:szCs w:val="21"/>
          <w:lang w:val="en-US" w:eastAsia="zh-CN" w:bidi="ar-SA"/>
        </w:rPr>
        <w:t>国际学术课程是</w:t>
      </w:r>
      <w:r>
        <w:rPr>
          <w:rFonts w:hint="default" w:asciiTheme="minorHAnsi" w:hAnsiTheme="minorHAnsi" w:eastAsiaTheme="majorEastAsia" w:cstheme="minorHAnsi"/>
          <w:kern w:val="0"/>
          <w:sz w:val="21"/>
          <w:szCs w:val="21"/>
          <w:lang w:val="en-US" w:eastAsia="zh-CN" w:bidi="ar-SA"/>
        </w:rPr>
        <w:t>德克萨斯</w:t>
      </w:r>
      <w:r>
        <w:rPr>
          <w:rFonts w:hint="eastAsia" w:asciiTheme="minorHAnsi" w:hAnsiTheme="minorHAnsi" w:eastAsiaTheme="majorEastAsia" w:cstheme="minorHAnsi"/>
          <w:kern w:val="0"/>
          <w:sz w:val="21"/>
          <w:szCs w:val="21"/>
          <w:lang w:val="en-US" w:eastAsia="zh-CN" w:bidi="ar-SA"/>
        </w:rPr>
        <w:t>大学奥斯汀分校每年为来自全世界</w:t>
      </w:r>
      <w:r>
        <w:rPr>
          <w:rFonts w:hint="eastAsia" w:eastAsiaTheme="majorEastAsia" w:cstheme="minorHAnsi"/>
          <w:kern w:val="0"/>
          <w:sz w:val="21"/>
          <w:szCs w:val="21"/>
          <w:lang w:val="en-US" w:eastAsia="zh-Hans" w:bidi="ar-SA"/>
        </w:rPr>
        <w:t>学生</w:t>
      </w:r>
      <w:r>
        <w:rPr>
          <w:rFonts w:hint="eastAsia" w:asciiTheme="minorHAnsi" w:hAnsiTheme="minorHAnsi" w:eastAsiaTheme="majorEastAsia" w:cstheme="minorHAnsi"/>
          <w:kern w:val="0"/>
          <w:sz w:val="21"/>
          <w:szCs w:val="21"/>
          <w:lang w:val="en-US" w:eastAsia="zh-CN" w:bidi="ar-SA"/>
        </w:rPr>
        <w:t>定制的暑期科研课程。课程的学术和科研含量是完全是按照大学各专业要求而设定的</w:t>
      </w:r>
      <w:r>
        <w:rPr>
          <w:rFonts w:hint="default" w:eastAsiaTheme="majorEastAsia" w:cstheme="minorHAnsi"/>
          <w:kern w:val="0"/>
          <w:sz w:val="21"/>
          <w:szCs w:val="21"/>
          <w:lang w:eastAsia="zh-CN" w:bidi="ar-SA"/>
        </w:rPr>
        <w:t>。</w:t>
      </w:r>
      <w:r>
        <w:rPr>
          <w:rFonts w:hint="eastAsia" w:eastAsiaTheme="majorEastAsia" w:cstheme="minorHAnsi"/>
          <w:kern w:val="0"/>
          <w:sz w:val="21"/>
          <w:szCs w:val="21"/>
          <w:lang w:val="en-US" w:eastAsia="zh-Hans" w:bidi="ar-SA"/>
        </w:rPr>
        <w:t>根据</w:t>
      </w:r>
      <w:r>
        <w:rPr>
          <w:rFonts w:hint="default" w:eastAsiaTheme="majorEastAsia" w:cstheme="minorHAnsi"/>
          <w:kern w:val="0"/>
          <w:sz w:val="21"/>
          <w:szCs w:val="21"/>
          <w:lang w:eastAsia="zh-Hans" w:bidi="ar-SA"/>
        </w:rPr>
        <w:t>《</w:t>
      </w:r>
      <w:r>
        <w:rPr>
          <w:rFonts w:hint="eastAsia" w:eastAsiaTheme="majorEastAsia" w:cstheme="minorHAnsi"/>
          <w:kern w:val="0"/>
          <w:sz w:val="21"/>
          <w:szCs w:val="21"/>
          <w:lang w:val="en-US" w:eastAsia="zh-Hans" w:bidi="ar-SA"/>
        </w:rPr>
        <w:t>美国新闻与世界报道</w:t>
      </w:r>
      <w:r>
        <w:rPr>
          <w:rFonts w:hint="default" w:eastAsiaTheme="majorEastAsia" w:cstheme="minorHAnsi"/>
          <w:kern w:val="0"/>
          <w:sz w:val="21"/>
          <w:szCs w:val="21"/>
          <w:lang w:eastAsia="zh-Hans" w:bidi="ar-SA"/>
        </w:rPr>
        <w:t>》，</w:t>
      </w:r>
      <w:r>
        <w:rPr>
          <w:rFonts w:hint="default" w:asciiTheme="minorHAnsi" w:hAnsiTheme="minorHAnsi" w:eastAsiaTheme="majorEastAsia" w:cstheme="minorHAnsi"/>
          <w:kern w:val="0"/>
          <w:sz w:val="21"/>
          <w:szCs w:val="21"/>
          <w:lang w:val="en-US" w:eastAsia="zh-CN" w:bidi="ar-SA"/>
        </w:rPr>
        <w:t>德克萨斯</w:t>
      </w:r>
      <w:r>
        <w:rPr>
          <w:rFonts w:hint="eastAsia" w:eastAsiaTheme="majorEastAsia" w:cstheme="minorHAnsi"/>
          <w:kern w:val="0"/>
          <w:sz w:val="21"/>
          <w:szCs w:val="21"/>
          <w:lang w:val="en-US" w:eastAsia="zh-Hans" w:bidi="ar-SA"/>
        </w:rPr>
        <w:t>大学奥斯汀分校的工程学院全美排名第</w:t>
      </w:r>
      <w:r>
        <w:rPr>
          <w:rFonts w:hint="default" w:eastAsiaTheme="majorEastAsia" w:cstheme="minorHAnsi"/>
          <w:kern w:val="0"/>
          <w:sz w:val="21"/>
          <w:szCs w:val="21"/>
          <w:lang w:eastAsia="zh-Hans" w:bidi="ar-SA"/>
        </w:rPr>
        <w:t>6</w:t>
      </w:r>
      <w:r>
        <w:rPr>
          <w:rFonts w:hint="eastAsia" w:eastAsiaTheme="majorEastAsia" w:cstheme="minorHAnsi"/>
          <w:kern w:val="0"/>
          <w:sz w:val="21"/>
          <w:szCs w:val="21"/>
          <w:lang w:val="en-US" w:eastAsia="zh-Hans" w:bidi="ar-SA"/>
        </w:rPr>
        <w:t>位</w:t>
      </w:r>
      <w:r>
        <w:rPr>
          <w:rFonts w:hint="default" w:eastAsiaTheme="majorEastAsia" w:cstheme="minorHAnsi"/>
          <w:kern w:val="0"/>
          <w:sz w:val="21"/>
          <w:szCs w:val="21"/>
          <w:lang w:eastAsia="zh-Hans" w:bidi="ar-SA"/>
        </w:rPr>
        <w:t>。</w:t>
      </w:r>
    </w:p>
    <w:p w14:paraId="1F8D81D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songti tc" w:hAnsi="songti tc" w:eastAsia="songti tc" w:cs="songti tc"/>
          <w:color w:val="000000"/>
          <w:kern w:val="0"/>
          <w:sz w:val="21"/>
          <w:szCs w:val="21"/>
          <w:lang w:val="en-US" w:eastAsia="zh-CN" w:bidi="ar"/>
        </w:rPr>
      </w:pPr>
      <w:r>
        <w:drawing>
          <wp:inline distT="0" distB="0" distL="114300" distR="114300">
            <wp:extent cx="5272405" cy="2811780"/>
            <wp:effectExtent l="0" t="0" r="1079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2405" cy="2811780"/>
                    </a:xfrm>
                    <a:prstGeom prst="rect">
                      <a:avLst/>
                    </a:prstGeom>
                    <a:noFill/>
                    <a:ln w="9525">
                      <a:noFill/>
                    </a:ln>
                  </pic:spPr>
                </pic:pic>
              </a:graphicData>
            </a:graphic>
          </wp:inline>
        </w:drawing>
      </w:r>
    </w:p>
    <w:p w14:paraId="33D3514A">
      <w:pPr>
        <w:pStyle w:val="3"/>
        <w:keepNext w:val="0"/>
        <w:keepLines w:val="0"/>
        <w:widowControl/>
        <w:suppressLineNumbers w:val="0"/>
        <w:spacing w:before="0" w:beforeAutospacing="0" w:after="0" w:afterAutospacing="0"/>
        <w:ind w:left="0" w:right="0"/>
        <w:jc w:val="left"/>
      </w:pPr>
    </w:p>
    <w:p w14:paraId="199D24D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songti tc" w:hAnsi="songti tc" w:eastAsia="songti tc" w:cs="songti tc"/>
          <w:b/>
          <w:color w:val="000000"/>
          <w:kern w:val="0"/>
          <w:sz w:val="21"/>
          <w:szCs w:val="21"/>
          <w:lang w:val="en-US" w:eastAsia="zh-CN" w:bidi="ar"/>
        </w:rPr>
      </w:pPr>
    </w:p>
    <w:p w14:paraId="2C215DD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b/>
          <w:color w:val="000000"/>
          <w:kern w:val="0"/>
          <w:sz w:val="21"/>
          <w:szCs w:val="21"/>
          <w:lang w:val="en-US" w:eastAsia="zh-CN" w:bidi="ar"/>
        </w:rPr>
        <w:t>二、项目特色优势</w:t>
      </w:r>
    </w:p>
    <w:p w14:paraId="2079CEC2">
      <w:pPr>
        <w:pStyle w:val="64"/>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【名校教育资源】</w:t>
      </w:r>
      <w:r>
        <w:rPr>
          <w:rFonts w:hint="eastAsia" w:asciiTheme="minorHAnsi" w:hAnsiTheme="minorHAnsi" w:eastAsiaTheme="majorEastAsia" w:cstheme="minorHAnsi"/>
          <w:kern w:val="0"/>
          <w:szCs w:val="21"/>
        </w:rPr>
        <w:t>由全球一流大学的导师亲自授课，为国际学生提供优质的专业课程，享受国际一流大学的学术氛围与硬件设施；</w:t>
      </w:r>
    </w:p>
    <w:p w14:paraId="0B1040AF">
      <w:pPr>
        <w:pStyle w:val="64"/>
        <w:widowControl/>
        <w:numPr>
          <w:ilvl w:val="0"/>
          <w:numId w:val="1"/>
        </w:numPr>
        <w:spacing w:line="360" w:lineRule="auto"/>
        <w:ind w:firstLineChars="0"/>
        <w:rPr>
          <w:rFonts w:asciiTheme="minorHAnsi" w:hAnsiTheme="minorHAnsi" w:eastAsiaTheme="majorEastAsia" w:cstheme="minorHAnsi"/>
          <w:kern w:val="0"/>
          <w:szCs w:val="21"/>
        </w:rPr>
      </w:pPr>
      <w:r>
        <w:rPr>
          <w:rFonts w:hint="default" w:eastAsiaTheme="majorEastAsia" w:cstheme="minorHAnsi"/>
          <w:b/>
          <w:bCs w:val="0"/>
          <w:kern w:val="0"/>
          <w:szCs w:val="21"/>
        </w:rPr>
        <w:t>【住宿保障】</w:t>
      </w:r>
      <w:r>
        <w:rPr>
          <w:rFonts w:hint="default" w:eastAsiaTheme="majorEastAsia" w:cstheme="minorHAnsi"/>
          <w:b w:val="0"/>
          <w:bCs w:val="0"/>
          <w:kern w:val="0"/>
          <w:szCs w:val="21"/>
        </w:rPr>
        <w:t>参加本项目同学均可以入住奥斯汀的校内宿舍，</w:t>
      </w:r>
      <w:r>
        <w:rPr>
          <w:rFonts w:hint="eastAsia" w:asciiTheme="minorHAnsi" w:hAnsiTheme="minorHAnsi" w:eastAsiaTheme="majorEastAsia" w:cstheme="minorHAnsi"/>
          <w:bCs/>
          <w:kern w:val="0"/>
          <w:szCs w:val="21"/>
          <w:lang w:val="en-US" w:eastAsia="zh-Hans"/>
        </w:rPr>
        <w:t>深入体验奥斯汀的学校氛围与生活环境</w:t>
      </w:r>
      <w:r>
        <w:rPr>
          <w:rFonts w:hint="default" w:eastAsiaTheme="majorEastAsia" w:cstheme="minorHAnsi"/>
          <w:bCs/>
          <w:kern w:val="0"/>
          <w:szCs w:val="21"/>
          <w:lang w:eastAsia="zh-Hans"/>
        </w:rPr>
        <w:t>；</w:t>
      </w:r>
    </w:p>
    <w:p w14:paraId="60129288">
      <w:pPr>
        <w:pStyle w:val="64"/>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【体验多元文化，结交国际好友】</w:t>
      </w:r>
      <w:r>
        <w:rPr>
          <w:rFonts w:hint="eastAsia" w:asciiTheme="minorHAnsi" w:hAnsiTheme="minorHAnsi" w:eastAsiaTheme="majorEastAsia" w:cstheme="minorHAnsi"/>
          <w:bCs/>
          <w:kern w:val="0"/>
          <w:szCs w:val="21"/>
        </w:rPr>
        <w:t>与来自世界各地的学生共同学习、提高跨文化沟通技能，收获知识与友谊；</w:t>
      </w:r>
    </w:p>
    <w:p w14:paraId="5228B2B1">
      <w:pPr>
        <w:pStyle w:val="64"/>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【名校成绩单</w:t>
      </w:r>
      <w:r>
        <w:rPr>
          <w:rFonts w:hint="default" w:eastAsiaTheme="majorEastAsia" w:cstheme="minorHAnsi"/>
          <w:b/>
          <w:bCs/>
          <w:kern w:val="0"/>
          <w:szCs w:val="21"/>
        </w:rPr>
        <w:t>&amp;项目证书</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顺利完成学业后可获得</w:t>
      </w:r>
      <w:r>
        <w:rPr>
          <w:rFonts w:hint="default" w:eastAsiaTheme="majorEastAsia" w:cstheme="minorHAnsi"/>
          <w:kern w:val="0"/>
          <w:szCs w:val="21"/>
        </w:rPr>
        <w:t>德克萨斯大学奥斯汀分校</w:t>
      </w:r>
      <w:r>
        <w:rPr>
          <w:rFonts w:hint="eastAsia" w:asciiTheme="minorHAnsi" w:hAnsiTheme="minorHAnsi" w:eastAsiaTheme="majorEastAsia" w:cstheme="minorHAnsi"/>
          <w:kern w:val="0"/>
          <w:szCs w:val="21"/>
        </w:rPr>
        <w:t>开具的</w:t>
      </w:r>
      <w:r>
        <w:rPr>
          <w:rFonts w:hint="default" w:eastAsiaTheme="majorEastAsia" w:cstheme="minorHAnsi"/>
          <w:kern w:val="0"/>
          <w:szCs w:val="21"/>
        </w:rPr>
        <w:t>官方学习证明和</w:t>
      </w:r>
      <w:r>
        <w:rPr>
          <w:rFonts w:hint="eastAsia" w:asciiTheme="minorHAnsi" w:hAnsiTheme="minorHAnsi" w:eastAsiaTheme="majorEastAsia" w:cstheme="minorHAnsi"/>
          <w:kern w:val="0"/>
          <w:szCs w:val="21"/>
        </w:rPr>
        <w:t>成绩单，为个人简历添砖加瓦。</w:t>
      </w:r>
    </w:p>
    <w:p w14:paraId="0AE91CB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840" w:right="0" w:rightChars="0"/>
        <w:jc w:val="left"/>
        <w:textAlignment w:val="auto"/>
        <w:outlineLvl w:val="9"/>
      </w:pPr>
    </w:p>
    <w:p w14:paraId="65731E8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三、德克萨斯大学奥斯汀分校简介</w:t>
      </w:r>
    </w:p>
    <w:p w14:paraId="26ECCF48">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创建于1883年，是德克萨斯州大学系统中的旗舰级大学，北美顶尖大学联盟美国大学协会（AAU）的成员，也是美国最负盛名的“公立常春藤（Public Ivy）”院校之一；</w:t>
      </w:r>
    </w:p>
    <w:p w14:paraId="644A1DBF">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202</w:t>
      </w:r>
      <w:r>
        <w:rPr>
          <w:rFonts w:hint="default" w:ascii="宋体" w:hAnsi="宋体" w:eastAsia="宋体" w:cs="宋体"/>
          <w:color w:val="000000"/>
          <w:sz w:val="21"/>
          <w:szCs w:val="21"/>
          <w:lang w:eastAsia="zh-CN"/>
        </w:rPr>
        <w:t>3</w:t>
      </w:r>
      <w:r>
        <w:rPr>
          <w:rFonts w:hint="eastAsia" w:ascii="宋体" w:hAnsi="宋体" w:eastAsia="宋体" w:cs="宋体"/>
          <w:color w:val="000000"/>
          <w:sz w:val="21"/>
          <w:szCs w:val="21"/>
          <w:lang w:val="en-US" w:eastAsia="zh-CN"/>
        </w:rPr>
        <w:t>年《美国新闻与世界报道》全球大学排名位列第</w:t>
      </w:r>
      <w:r>
        <w:rPr>
          <w:rFonts w:hint="default" w:ascii="宋体" w:hAnsi="宋体" w:eastAsia="宋体" w:cs="宋体"/>
          <w:color w:val="000000"/>
          <w:sz w:val="21"/>
          <w:szCs w:val="21"/>
          <w:lang w:eastAsia="zh-CN"/>
        </w:rPr>
        <w:t>38</w:t>
      </w:r>
      <w:r>
        <w:rPr>
          <w:rFonts w:hint="eastAsia" w:ascii="宋体" w:hAnsi="宋体" w:eastAsia="宋体" w:cs="宋体"/>
          <w:color w:val="000000"/>
          <w:sz w:val="21"/>
          <w:szCs w:val="21"/>
          <w:lang w:val="en-US" w:eastAsia="zh-Hans"/>
        </w:rPr>
        <w:t>位</w:t>
      </w:r>
      <w:r>
        <w:rPr>
          <w:rFonts w:hint="eastAsia" w:ascii="宋体" w:hAnsi="宋体" w:eastAsia="宋体" w:cs="宋体"/>
          <w:color w:val="000000"/>
          <w:sz w:val="21"/>
          <w:szCs w:val="21"/>
          <w:lang w:val="en-US" w:eastAsia="zh-CN"/>
        </w:rPr>
        <w:t>、2022年软科世界大学排名位列全球第3</w:t>
      </w:r>
      <w:r>
        <w:rPr>
          <w:rFonts w:hint="default" w:ascii="宋体" w:hAnsi="宋体" w:eastAsia="宋体" w:cs="宋体"/>
          <w:color w:val="000000"/>
          <w:sz w:val="21"/>
          <w:szCs w:val="21"/>
          <w:lang w:eastAsia="zh-CN"/>
        </w:rPr>
        <w:t>7</w:t>
      </w:r>
      <w:r>
        <w:rPr>
          <w:rFonts w:hint="eastAsia" w:ascii="宋体" w:hAnsi="宋体" w:eastAsia="宋体" w:cs="宋体"/>
          <w:color w:val="000000"/>
          <w:sz w:val="21"/>
          <w:szCs w:val="21"/>
          <w:lang w:val="en-US" w:eastAsia="zh-CN"/>
        </w:rPr>
        <w:t>位；</w:t>
      </w:r>
    </w:p>
    <w:p w14:paraId="7C663472">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jc w:val="both"/>
        <w:textAlignment w:val="auto"/>
        <w:outlineLvl w:val="9"/>
        <w:rPr>
          <w:rFonts w:hint="eastAsia" w:ascii="宋体" w:hAnsi="宋体" w:eastAsia="宋体" w:cs="宋体"/>
          <w:color w:val="000000"/>
          <w:sz w:val="21"/>
          <w:szCs w:val="21"/>
        </w:rPr>
      </w:pPr>
      <w:r>
        <w:rPr>
          <w:rFonts w:hint="eastAsia" w:eastAsiaTheme="majorEastAsia" w:cstheme="minorHAnsi"/>
          <w:kern w:val="0"/>
          <w:sz w:val="21"/>
          <w:szCs w:val="21"/>
          <w:lang w:val="en-US" w:eastAsia="zh-Hans" w:bidi="ar-SA"/>
        </w:rPr>
        <w:t>根据</w:t>
      </w:r>
      <w:r>
        <w:rPr>
          <w:rFonts w:hint="default" w:eastAsiaTheme="majorEastAsia" w:cstheme="minorHAnsi"/>
          <w:kern w:val="0"/>
          <w:sz w:val="21"/>
          <w:szCs w:val="21"/>
          <w:lang w:eastAsia="zh-Hans" w:bidi="ar-SA"/>
        </w:rPr>
        <w:t>《</w:t>
      </w:r>
      <w:r>
        <w:rPr>
          <w:rFonts w:hint="eastAsia" w:eastAsiaTheme="majorEastAsia" w:cstheme="minorHAnsi"/>
          <w:kern w:val="0"/>
          <w:sz w:val="21"/>
          <w:szCs w:val="21"/>
          <w:lang w:val="en-US" w:eastAsia="zh-Hans" w:bidi="ar-SA"/>
        </w:rPr>
        <w:t>美国新闻与世界报道</w:t>
      </w:r>
      <w:r>
        <w:rPr>
          <w:rFonts w:hint="default" w:eastAsiaTheme="majorEastAsia" w:cstheme="minorHAnsi"/>
          <w:kern w:val="0"/>
          <w:sz w:val="21"/>
          <w:szCs w:val="21"/>
          <w:lang w:eastAsia="zh-Hans" w:bidi="ar-SA"/>
        </w:rPr>
        <w:t>》，</w:t>
      </w:r>
      <w:r>
        <w:rPr>
          <w:rFonts w:hint="default" w:asciiTheme="minorHAnsi" w:hAnsiTheme="minorHAnsi" w:eastAsiaTheme="majorEastAsia" w:cstheme="minorHAnsi"/>
          <w:kern w:val="0"/>
          <w:sz w:val="21"/>
          <w:szCs w:val="21"/>
          <w:lang w:val="en-US" w:eastAsia="zh-CN" w:bidi="ar-SA"/>
        </w:rPr>
        <w:t>德克萨斯</w:t>
      </w:r>
      <w:r>
        <w:rPr>
          <w:rFonts w:hint="eastAsia" w:eastAsiaTheme="majorEastAsia" w:cstheme="minorHAnsi"/>
          <w:kern w:val="0"/>
          <w:sz w:val="21"/>
          <w:szCs w:val="21"/>
          <w:lang w:val="en-US" w:eastAsia="zh-Hans" w:bidi="ar-SA"/>
        </w:rPr>
        <w:t>大学奥斯汀分校的工程学院全美排名第</w:t>
      </w:r>
      <w:r>
        <w:rPr>
          <w:rFonts w:hint="default" w:eastAsiaTheme="majorEastAsia" w:cstheme="minorHAnsi"/>
          <w:kern w:val="0"/>
          <w:sz w:val="21"/>
          <w:szCs w:val="21"/>
          <w:lang w:eastAsia="zh-Hans" w:bidi="ar-SA"/>
        </w:rPr>
        <w:t>6</w:t>
      </w:r>
      <w:r>
        <w:rPr>
          <w:rFonts w:hint="eastAsia" w:eastAsiaTheme="majorEastAsia" w:cstheme="minorHAnsi"/>
          <w:kern w:val="0"/>
          <w:sz w:val="21"/>
          <w:szCs w:val="21"/>
          <w:lang w:val="en-US" w:eastAsia="zh-Hans" w:bidi="ar-SA"/>
        </w:rPr>
        <w:t>位</w:t>
      </w:r>
      <w:r>
        <w:rPr>
          <w:rFonts w:hint="default" w:eastAsiaTheme="majorEastAsia" w:cstheme="minorHAnsi"/>
          <w:kern w:val="0"/>
          <w:sz w:val="21"/>
          <w:szCs w:val="21"/>
          <w:lang w:eastAsia="zh-Hans" w:bidi="ar-SA"/>
        </w:rPr>
        <w:t>。</w:t>
      </w:r>
    </w:p>
    <w:p w14:paraId="19E11134">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60" w:lineRule="auto"/>
        <w:ind w:left="420" w:leftChars="0" w:right="0" w:rightChars="0" w:hanging="420"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作为德克萨斯大学的旗舰校区，UT-Austin在过去的近一百四十年创校历史中，产生了12位诺贝尔奖、2位图灵奖、18位普利策新闻奖得主、35位美国国家科学院院士、52位美国艺术与科学院院士，以及57位美国国家工程院院士。</w:t>
      </w:r>
    </w:p>
    <w:p w14:paraId="5C57240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pPr>
    </w:p>
    <w:p w14:paraId="4458162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b/>
          <w:color w:val="000000"/>
          <w:kern w:val="0"/>
          <w:sz w:val="21"/>
          <w:szCs w:val="21"/>
          <w:lang w:val="en-US" w:eastAsia="zh-CN" w:bidi="ar"/>
        </w:rPr>
        <w:t>四、访学项目介绍</w:t>
      </w:r>
    </w:p>
    <w:p w14:paraId="45A57E0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left"/>
        <w:textAlignment w:val="auto"/>
        <w:outlineLvl w:val="9"/>
      </w:pPr>
      <w:r>
        <w:rPr>
          <w:rFonts w:hint="eastAsia" w:ascii="songti tc" w:hAnsi="songti tc" w:eastAsia="songti tc" w:cs="songti tc"/>
          <w:color w:val="000000"/>
          <w:kern w:val="0"/>
          <w:sz w:val="21"/>
          <w:szCs w:val="21"/>
          <w:lang w:val="en-US" w:eastAsia="zh-CN" w:bidi="ar"/>
        </w:rPr>
        <w:t>【</w:t>
      </w:r>
      <w:r>
        <w:rPr>
          <w:rFonts w:hint="eastAsia" w:ascii="songti tc" w:hAnsi="songti tc" w:eastAsia="songti tc" w:cs="songti tc"/>
          <w:b/>
          <w:color w:val="000000"/>
          <w:kern w:val="0"/>
          <w:sz w:val="21"/>
          <w:szCs w:val="21"/>
          <w:lang w:val="en-US" w:eastAsia="zh-CN" w:bidi="ar"/>
        </w:rPr>
        <w:t>课程日期</w:t>
      </w:r>
      <w:r>
        <w:rPr>
          <w:rFonts w:hint="eastAsia" w:ascii="songti tc" w:hAnsi="songti tc" w:eastAsia="songti tc" w:cs="songti tc"/>
          <w:color w:val="000000"/>
          <w:kern w:val="0"/>
          <w:sz w:val="21"/>
          <w:szCs w:val="21"/>
          <w:lang w:val="en-US" w:eastAsia="zh-CN" w:bidi="ar"/>
        </w:rPr>
        <w:t>】</w:t>
      </w:r>
    </w:p>
    <w:p w14:paraId="657915EB">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default" w:ascii="宋体" w:hAnsi="宋体" w:eastAsia="宋体" w:cs="宋体"/>
          <w:color w:val="000000"/>
          <w:kern w:val="0"/>
          <w:sz w:val="21"/>
          <w:szCs w:val="21"/>
          <w:lang w:eastAsia="zh-Hans" w:bidi="ar"/>
        </w:rPr>
      </w:pPr>
      <w:r>
        <w:rPr>
          <w:rFonts w:hint="default" w:ascii="songti tc" w:hAnsi="songti tc" w:eastAsia="songti tc" w:cs="songti tc"/>
          <w:color w:val="000000"/>
          <w:kern w:val="0"/>
          <w:sz w:val="21"/>
          <w:szCs w:val="21"/>
          <w:lang w:val="en-US" w:eastAsia="zh-CN" w:bidi="ar"/>
        </w:rPr>
        <w:t>2024年</w:t>
      </w:r>
      <w:r>
        <w:rPr>
          <w:rFonts w:hint="eastAsia" w:ascii="songti tc" w:hAnsi="songti tc" w:eastAsia="songti tc" w:cs="songti tc"/>
          <w:color w:val="000000"/>
          <w:kern w:val="0"/>
          <w:sz w:val="21"/>
          <w:szCs w:val="21"/>
          <w:lang w:val="en-US" w:eastAsia="zh-CN" w:bidi="ar"/>
        </w:rPr>
        <w:t>7</w:t>
      </w:r>
      <w:r>
        <w:rPr>
          <w:rFonts w:hint="default" w:ascii="songti tc" w:hAnsi="songti tc" w:eastAsia="songti tc" w:cs="songti tc"/>
          <w:color w:val="000000"/>
          <w:kern w:val="0"/>
          <w:sz w:val="21"/>
          <w:szCs w:val="21"/>
          <w:lang w:val="en-US" w:eastAsia="zh-CN" w:bidi="ar"/>
        </w:rPr>
        <w:t>月</w:t>
      </w:r>
      <w:r>
        <w:rPr>
          <w:rFonts w:hint="eastAsia" w:ascii="songti tc" w:hAnsi="songti tc" w:eastAsia="songti tc" w:cs="songti tc"/>
          <w:color w:val="000000"/>
          <w:kern w:val="0"/>
          <w:sz w:val="21"/>
          <w:szCs w:val="21"/>
          <w:lang w:val="en-US" w:eastAsia="zh-CN" w:bidi="ar"/>
        </w:rPr>
        <w:t>14</w:t>
      </w:r>
      <w:r>
        <w:rPr>
          <w:rFonts w:hint="default" w:ascii="songti tc" w:hAnsi="songti tc" w:eastAsia="songti tc" w:cs="songti tc"/>
          <w:color w:val="000000"/>
          <w:kern w:val="0"/>
          <w:sz w:val="21"/>
          <w:szCs w:val="21"/>
          <w:lang w:val="en-US" w:eastAsia="zh-CN" w:bidi="ar"/>
        </w:rPr>
        <w:t>日-</w:t>
      </w:r>
      <w:r>
        <w:rPr>
          <w:rFonts w:hint="eastAsia" w:ascii="songti tc" w:hAnsi="songti tc" w:eastAsia="songti tc" w:cs="songti tc"/>
          <w:color w:val="000000"/>
          <w:kern w:val="0"/>
          <w:sz w:val="21"/>
          <w:szCs w:val="21"/>
          <w:lang w:val="en-US" w:eastAsia="zh-CN" w:bidi="ar"/>
        </w:rPr>
        <w:t>8</w:t>
      </w:r>
      <w:r>
        <w:rPr>
          <w:rFonts w:hint="default" w:ascii="songti tc" w:hAnsi="songti tc" w:eastAsia="songti tc" w:cs="songti tc"/>
          <w:color w:val="000000"/>
          <w:kern w:val="0"/>
          <w:sz w:val="21"/>
          <w:szCs w:val="21"/>
          <w:lang w:val="en-US" w:eastAsia="zh-CN" w:bidi="ar"/>
        </w:rPr>
        <w:t>月</w:t>
      </w:r>
      <w:r>
        <w:rPr>
          <w:rFonts w:hint="eastAsia" w:ascii="songti tc" w:hAnsi="songti tc" w:eastAsia="songti tc" w:cs="songti tc"/>
          <w:color w:val="000000"/>
          <w:kern w:val="0"/>
          <w:sz w:val="21"/>
          <w:szCs w:val="21"/>
          <w:lang w:val="en-US" w:eastAsia="zh-CN" w:bidi="ar"/>
        </w:rPr>
        <w:t>8</w:t>
      </w:r>
      <w:r>
        <w:rPr>
          <w:rFonts w:hint="default" w:ascii="songti tc" w:hAnsi="songti tc" w:eastAsia="songti tc" w:cs="songti tc"/>
          <w:color w:val="000000"/>
          <w:kern w:val="0"/>
          <w:sz w:val="21"/>
          <w:szCs w:val="21"/>
          <w:lang w:val="en-US" w:eastAsia="zh-CN" w:bidi="ar"/>
        </w:rPr>
        <w:t>日</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CN" w:bidi="ar"/>
        </w:rPr>
        <w:t>四</w:t>
      </w:r>
      <w:r>
        <w:rPr>
          <w:rFonts w:hint="default" w:ascii="宋体" w:hAnsi="宋体" w:eastAsia="宋体" w:cs="宋体"/>
          <w:color w:val="000000"/>
          <w:kern w:val="0"/>
          <w:sz w:val="21"/>
          <w:szCs w:val="21"/>
          <w:lang w:eastAsia="zh-Hans" w:bidi="ar"/>
        </w:rPr>
        <w:t>周）</w:t>
      </w:r>
    </w:p>
    <w:p w14:paraId="533676A7">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default" w:ascii="宋体" w:hAnsi="宋体" w:eastAsia="宋体" w:cs="宋体"/>
          <w:color w:val="000000"/>
          <w:kern w:val="0"/>
          <w:sz w:val="21"/>
          <w:szCs w:val="21"/>
          <w:lang w:eastAsia="zh-Hans" w:bidi="ar"/>
        </w:rPr>
      </w:pPr>
      <w:r>
        <w:rPr>
          <w:rFonts w:hint="default" w:ascii="宋体" w:hAnsi="宋体" w:eastAsia="宋体" w:cs="宋体"/>
          <w:color w:val="000000"/>
          <w:kern w:val="0"/>
          <w:sz w:val="21"/>
          <w:szCs w:val="21"/>
          <w:lang w:eastAsia="zh-Hans" w:bidi="ar"/>
        </w:rPr>
        <w:t>每周一-周五，上午9:00-12:00，下午2:00-5:00，共计120小时</w:t>
      </w:r>
    </w:p>
    <w:p w14:paraId="7314411D">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Calibri"/>
          <w:kern w:val="2"/>
          <w:sz w:val="21"/>
          <w:szCs w:val="21"/>
        </w:rPr>
      </w:pPr>
      <w:r>
        <w:rPr>
          <w:rFonts w:hint="eastAsia" w:ascii="宋体" w:hAnsi="宋体" w:eastAsia="宋体" w:cs="宋体"/>
          <w:kern w:val="2"/>
          <w:sz w:val="21"/>
          <w:szCs w:val="21"/>
          <w:lang w:val="en-US" w:eastAsia="zh-CN" w:bidi="ar"/>
        </w:rPr>
        <w:t>【课程内容】</w:t>
      </w:r>
    </w:p>
    <w:p w14:paraId="74154E0C">
      <w:pPr>
        <w:pStyle w:val="3"/>
        <w:keepNext w:val="0"/>
        <w:keepLines w:val="0"/>
        <w:widowControl/>
        <w:suppressLineNumbers w:val="0"/>
        <w:adjustRightInd w:val="0"/>
        <w:snapToGrid w:val="0"/>
        <w:spacing w:before="0" w:beforeAutospacing="0" w:after="0" w:afterAutospacing="0" w:line="360" w:lineRule="auto"/>
        <w:ind w:left="0" w:right="0" w:firstLine="42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德克萨斯大学奥斯汀分校夏季项目为学生提供了一个沉浸式的学术体验，旨在帮助学员在实践中提升专业能力，并深入了解美国学术语言和文化。通过与顶尖教授和行业专家的互动，学生不仅能够获得在自己领域的实践经验，还能够拓展全球视野，建立宝贵的人脉关系。项目的课程安排注重培养学生的英语写作和口语沟通能力，提供一流的教学资源和学术支持，确保学生在学习过程中得到全面的提升。</w:t>
      </w:r>
    </w:p>
    <w:p w14:paraId="0A6BC1BA">
      <w:pPr>
        <w:pStyle w:val="3"/>
        <w:keepNext w:val="0"/>
        <w:keepLines w:val="0"/>
        <w:widowControl/>
        <w:suppressLineNumbers w:val="0"/>
        <w:adjustRightInd w:val="0"/>
        <w:snapToGrid w:val="0"/>
        <w:spacing w:before="0" w:beforeAutospacing="0" w:after="0" w:afterAutospacing="0" w:line="360" w:lineRule="auto"/>
        <w:ind w:left="0" w:right="0" w:firstLine="42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项目还特别设计了校园参观和德州各大名胜的实地考察，帮助学员更好地了解美国的学术环境和文化背景。此外，学生将熟悉美国大学的招生流程，为未来申请美国院校打下坚实基础。完成项目后，学员将获得结业证书和成绩单，为其学术发展提供有力支持。</w:t>
      </w:r>
    </w:p>
    <w:p w14:paraId="7FA5C948">
      <w:pPr>
        <w:pStyle w:val="3"/>
        <w:keepNext w:val="0"/>
        <w:keepLines w:val="0"/>
        <w:widowControl/>
        <w:suppressLineNumbers w:val="0"/>
        <w:adjustRightInd w:val="0"/>
        <w:snapToGrid w:val="0"/>
        <w:spacing w:before="0" w:beforeAutospacing="0" w:after="0" w:afterAutospacing="0" w:line="360" w:lineRule="auto"/>
        <w:ind w:left="0" w:right="0" w:firstLine="42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学生必须报读共三门课程，</w:t>
      </w:r>
      <w:r>
        <w:rPr>
          <w:rFonts w:hint="default" w:ascii="宋体" w:hAnsi="宋体" w:eastAsia="宋体" w:cs="宋体"/>
          <w:color w:val="000000"/>
          <w:kern w:val="2"/>
          <w:sz w:val="21"/>
          <w:szCs w:val="21"/>
          <w:lang w:val="en-US" w:eastAsia="zh-CN" w:bidi="ar-SA"/>
        </w:rPr>
        <w:t>其中</w:t>
      </w:r>
      <w:r>
        <w:rPr>
          <w:rFonts w:hint="eastAsia" w:ascii="宋体" w:hAnsi="宋体" w:eastAsia="宋体" w:cs="宋体"/>
          <w:color w:val="000000"/>
          <w:kern w:val="2"/>
          <w:sz w:val="21"/>
          <w:szCs w:val="21"/>
          <w:lang w:val="en-US" w:eastAsia="zh-CN" w:bidi="ar-SA"/>
        </w:rPr>
        <w:t>至少有一门是英语课。另外</w:t>
      </w: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kern w:val="2"/>
          <w:sz w:val="21"/>
          <w:szCs w:val="21"/>
          <w:lang w:val="en-US" w:eastAsia="zh-CN" w:bidi="ar-SA"/>
        </w:rPr>
        <w:t>门可以是从学术专业课程中选择</w:t>
      </w: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kern w:val="2"/>
          <w:sz w:val="21"/>
          <w:szCs w:val="21"/>
          <w:lang w:val="en-US" w:eastAsia="zh-CN" w:bidi="ar-SA"/>
        </w:rPr>
        <w:t>门，也可以选择</w:t>
      </w: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kern w:val="2"/>
          <w:sz w:val="21"/>
          <w:szCs w:val="21"/>
          <w:lang w:val="en-US" w:eastAsia="zh-CN" w:bidi="ar-SA"/>
        </w:rPr>
        <w:t>门英语课中的另外</w:t>
      </w: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kern w:val="2"/>
          <w:sz w:val="21"/>
          <w:szCs w:val="21"/>
          <w:lang w:val="en-US" w:eastAsia="zh-CN" w:bidi="ar-SA"/>
        </w:rPr>
        <w:t>门。选课示例：</w:t>
      </w:r>
    </w:p>
    <w:p w14:paraId="7E22C8C7">
      <w:pPr>
        <w:keepNext w:val="0"/>
        <w:keepLines w:val="0"/>
        <w:widowControl w:val="0"/>
        <w:numPr>
          <w:ilvl w:val="0"/>
          <w:numId w:val="3"/>
        </w:numPr>
        <w:suppressLineNumbers w:val="0"/>
        <w:autoSpaceDE w:val="0"/>
        <w:autoSpaceDN w:val="0"/>
        <w:spacing w:before="0" w:beforeAutospacing="0" w:after="0" w:afterAutospacing="0" w:line="360" w:lineRule="auto"/>
        <w:ind w:left="420" w:leftChars="0" w:right="0" w:hanging="420" w:firstLineChars="0"/>
        <w:jc w:val="both"/>
        <w:rPr>
          <w:rFonts w:hint="eastAsia" w:ascii="宋体" w:hAnsi="宋体" w:eastAsia="宋体" w:cs="宋体"/>
          <w:color w:val="000000"/>
          <w:kern w:val="2"/>
          <w:sz w:val="21"/>
          <w:szCs w:val="21"/>
          <w:lang w:val="en-US" w:eastAsia="zh-CN" w:bidi="ar-SA"/>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kern w:val="2"/>
          <w:sz w:val="21"/>
          <w:szCs w:val="21"/>
          <w:lang w:val="en-US" w:eastAsia="zh-CN" w:bidi="ar-SA"/>
        </w:rPr>
        <w:t>门英语课</w:t>
      </w: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kern w:val="2"/>
          <w:sz w:val="21"/>
          <w:szCs w:val="21"/>
          <w:lang w:val="en-US" w:eastAsia="zh-CN" w:bidi="ar-SA"/>
        </w:rPr>
        <w:t>门专业课</w:t>
      </w:r>
    </w:p>
    <w:p w14:paraId="6EAB3D9E">
      <w:pPr>
        <w:keepNext w:val="0"/>
        <w:keepLines w:val="0"/>
        <w:widowControl w:val="0"/>
        <w:numPr>
          <w:ilvl w:val="0"/>
          <w:numId w:val="3"/>
        </w:numPr>
        <w:suppressLineNumbers w:val="0"/>
        <w:autoSpaceDE w:val="0"/>
        <w:autoSpaceDN w:val="0"/>
        <w:spacing w:before="0" w:beforeAutospacing="0" w:after="0" w:afterAutospacing="0" w:line="360" w:lineRule="auto"/>
        <w:ind w:left="420" w:leftChars="0" w:right="0" w:hanging="420" w:firstLineChars="0"/>
        <w:jc w:val="both"/>
        <w:rPr>
          <w:rFonts w:hint="eastAsia" w:ascii="宋体" w:hAnsi="宋体" w:eastAsia="宋体" w:cs="宋体"/>
          <w:color w:val="000000"/>
          <w:kern w:val="2"/>
          <w:sz w:val="21"/>
          <w:szCs w:val="21"/>
          <w:lang w:val="en-US" w:eastAsia="zh-CN" w:bidi="ar-SA"/>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kern w:val="2"/>
          <w:sz w:val="21"/>
          <w:szCs w:val="21"/>
          <w:lang w:val="en-US" w:eastAsia="zh-CN" w:bidi="ar-SA"/>
        </w:rPr>
        <w:t>门英语课</w:t>
      </w: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kern w:val="2"/>
          <w:sz w:val="21"/>
          <w:szCs w:val="21"/>
          <w:lang w:val="en-US" w:eastAsia="zh-CN" w:bidi="ar-SA"/>
        </w:rPr>
        <w:t>门专业课</w:t>
      </w:r>
    </w:p>
    <w:p w14:paraId="7EE4B1E1">
      <w:pPr>
        <w:keepNext w:val="0"/>
        <w:keepLines w:val="0"/>
        <w:widowControl w:val="0"/>
        <w:numPr>
          <w:ilvl w:val="0"/>
          <w:numId w:val="3"/>
        </w:numPr>
        <w:suppressLineNumbers w:val="0"/>
        <w:autoSpaceDE w:val="0"/>
        <w:autoSpaceDN w:val="0"/>
        <w:spacing w:before="0" w:beforeAutospacing="0" w:after="0" w:afterAutospacing="0" w:line="360" w:lineRule="auto"/>
        <w:ind w:left="420" w:leftChars="0" w:right="0" w:hanging="420" w:firstLineChars="0"/>
        <w:jc w:val="both"/>
        <w:rPr>
          <w:rFonts w:ascii="songti tc" w:hAnsi="songti tc" w:eastAsia="songti tc" w:cs="songti tc"/>
          <w:color w:val="000000"/>
          <w:kern w:val="0"/>
          <w:sz w:val="21"/>
          <w:szCs w:val="21"/>
          <w:lang w:val="en-US" w:eastAsia="zh-CN" w:bidi="ar"/>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kern w:val="2"/>
          <w:sz w:val="21"/>
          <w:szCs w:val="21"/>
          <w:lang w:val="en-US" w:eastAsia="zh-CN" w:bidi="ar-SA"/>
        </w:rPr>
        <w:t>门英语课</w:t>
      </w:r>
    </w:p>
    <w:tbl>
      <w:tblPr>
        <w:tblStyle w:val="6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79"/>
        <w:gridCol w:w="6440"/>
      </w:tblGrid>
      <w:tr w14:paraId="51A4D103">
        <w:tc>
          <w:tcPr>
            <w:tcW w:w="1220" w:type="pct"/>
            <w:tcBorders>
              <w:top w:val="single" w:color="auto" w:sz="4" w:space="0"/>
              <w:left w:val="single" w:color="auto" w:sz="4" w:space="0"/>
              <w:bottom w:val="single" w:color="auto" w:sz="4" w:space="0"/>
              <w:right w:val="single" w:color="auto" w:sz="4" w:space="0"/>
            </w:tcBorders>
            <w:shd w:val="clear" w:color="auto" w:fill="auto"/>
            <w:vAlign w:val="top"/>
          </w:tcPr>
          <w:p w14:paraId="6DD70DF8">
            <w:pPr>
              <w:keepNext w:val="0"/>
              <w:keepLines w:val="0"/>
              <w:widowControl w:val="0"/>
              <w:suppressLineNumbers w:val="0"/>
              <w:spacing w:before="0" w:beforeAutospacing="0" w:after="0" w:afterAutospacing="0"/>
              <w:ind w:left="0" w:right="-158" w:rightChars="-75"/>
              <w:jc w:val="center"/>
              <w:rPr>
                <w:rFonts w:hint="default" w:ascii="Times New Roman" w:hAnsi="Times New Roman" w:eastAsia="宋体" w:cs="Times New Roman"/>
                <w:kern w:val="0"/>
                <w:sz w:val="16"/>
                <w:szCs w:val="16"/>
              </w:rPr>
            </w:pPr>
            <w:r>
              <w:rPr>
                <w:rFonts w:hint="eastAsia" w:ascii="宋体" w:hAnsi="宋体" w:eastAsia="宋体" w:cs="宋体"/>
                <w:b/>
                <w:bCs/>
                <w:kern w:val="0"/>
                <w:sz w:val="16"/>
                <w:szCs w:val="16"/>
                <w:lang w:val="en-US" w:eastAsia="zh-CN" w:bidi="ar"/>
              </w:rPr>
              <w:t>专业方向</w:t>
            </w: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6A434C6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0"/>
                <w:sz w:val="16"/>
                <w:szCs w:val="16"/>
              </w:rPr>
            </w:pPr>
            <w:r>
              <w:rPr>
                <w:rFonts w:hint="eastAsia" w:ascii="宋体" w:hAnsi="宋体" w:eastAsia="宋体" w:cs="宋体"/>
                <w:b/>
                <w:bCs/>
                <w:kern w:val="0"/>
                <w:sz w:val="16"/>
                <w:szCs w:val="16"/>
                <w:lang w:val="en-US" w:eastAsia="zh-CN" w:bidi="ar"/>
              </w:rPr>
              <w:t>课程</w:t>
            </w:r>
          </w:p>
        </w:tc>
      </w:tr>
      <w:tr w14:paraId="30E5A341">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675C2F7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0"/>
                <w:sz w:val="16"/>
                <w:szCs w:val="16"/>
              </w:rPr>
            </w:pPr>
            <w:r>
              <w:rPr>
                <w:rFonts w:hint="eastAsia" w:ascii="宋体" w:hAnsi="宋体" w:eastAsia="宋体" w:cs="宋体"/>
                <w:b/>
                <w:bCs/>
                <w:kern w:val="0"/>
                <w:sz w:val="16"/>
                <w:szCs w:val="16"/>
                <w:highlight w:val="none"/>
                <w:lang w:val="en-US" w:eastAsia="zh-CN" w:bidi="ar"/>
              </w:rPr>
              <w:t>必选一门英语课</w:t>
            </w:r>
          </w:p>
        </w:tc>
      </w:tr>
      <w:tr w14:paraId="2993A0C7">
        <w:tc>
          <w:tcPr>
            <w:tcW w:w="1220" w:type="pct"/>
            <w:vMerge w:val="restart"/>
            <w:tcBorders>
              <w:top w:val="nil"/>
              <w:left w:val="single" w:color="auto" w:sz="4" w:space="0"/>
              <w:bottom w:val="single" w:color="auto" w:sz="4" w:space="0"/>
              <w:right w:val="single" w:color="auto" w:sz="4" w:space="0"/>
            </w:tcBorders>
            <w:shd w:val="clear" w:color="auto" w:fill="auto"/>
            <w:vAlign w:val="top"/>
          </w:tcPr>
          <w:p w14:paraId="0F0B6AAC">
            <w:pPr>
              <w:keepNext w:val="0"/>
              <w:keepLines w:val="0"/>
              <w:widowControl w:val="0"/>
              <w:suppressLineNumbers w:val="0"/>
              <w:spacing w:before="0" w:beforeAutospacing="0" w:after="0" w:afterAutospacing="0"/>
              <w:ind w:left="0" w:right="-158" w:rightChars="-75"/>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English Language   (Intermediate and Advanced) </w:t>
            </w:r>
            <w:r>
              <w:rPr>
                <w:rFonts w:hint="eastAsia" w:ascii="宋体" w:hAnsi="宋体" w:eastAsia="宋体" w:cs="宋体"/>
                <w:kern w:val="0"/>
                <w:sz w:val="16"/>
                <w:szCs w:val="16"/>
                <w:lang w:val="en-US" w:eastAsia="zh-CN" w:bidi="ar"/>
              </w:rPr>
              <w:t>英语</w:t>
            </w:r>
            <w:r>
              <w:rPr>
                <w:rFonts w:hint="default" w:ascii="Times New Roman" w:hAnsi="Times New Roman" w:eastAsia="宋体" w:cs="Times New Roman"/>
                <w:kern w:val="0"/>
                <w:sz w:val="16"/>
                <w:szCs w:val="16"/>
                <w:lang w:val="en-US" w:eastAsia="zh-CN" w:bidi="ar"/>
              </w:rPr>
              <w:t>(</w:t>
            </w:r>
            <w:r>
              <w:rPr>
                <w:rFonts w:hint="eastAsia" w:ascii="宋体" w:hAnsi="宋体" w:eastAsia="宋体" w:cs="宋体"/>
                <w:kern w:val="0"/>
                <w:sz w:val="16"/>
                <w:szCs w:val="16"/>
                <w:lang w:val="en-US" w:eastAsia="zh-CN" w:bidi="ar"/>
              </w:rPr>
              <w:t>中高级</w:t>
            </w:r>
            <w:r>
              <w:rPr>
                <w:rFonts w:hint="default" w:ascii="Times New Roman" w:hAnsi="Times New Roman" w:eastAsia="宋体" w:cs="Times New Roman"/>
                <w:kern w:val="0"/>
                <w:sz w:val="16"/>
                <w:szCs w:val="16"/>
                <w:lang w:val="en-US" w:eastAsia="zh-CN" w:bidi="ar"/>
              </w:rPr>
              <w:t>)</w:t>
            </w: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24FE38AC">
            <w:pPr>
              <w:keepNext w:val="0"/>
              <w:keepLines w:val="0"/>
              <w:widowControl/>
              <w:numPr>
                <w:ilvl w:val="0"/>
                <w:numId w:val="4"/>
              </w:numPr>
              <w:suppressLineNumbers w:val="0"/>
              <w:spacing w:before="0" w:beforeAutospacing="0" w:after="0" w:afterAutospacing="0"/>
              <w:ind w:left="0" w:right="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Academic Writing </w:t>
            </w:r>
            <w:r>
              <w:rPr>
                <w:rFonts w:hint="eastAsia" w:ascii="宋体" w:hAnsi="宋体" w:eastAsia="宋体" w:cs="宋体"/>
                <w:kern w:val="0"/>
                <w:sz w:val="16"/>
                <w:szCs w:val="16"/>
                <w:lang w:val="en-US" w:eastAsia="zh-CN" w:bidi="ar"/>
              </w:rPr>
              <w:t>学术写作</w:t>
            </w:r>
          </w:p>
          <w:p w14:paraId="11A21A0A">
            <w:pPr>
              <w:keepNext w:val="0"/>
              <w:keepLines w:val="0"/>
              <w:widowControl/>
              <w:numPr>
                <w:ilvl w:val="0"/>
                <w:numId w:val="5"/>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句型与段落组织原则的回顾</w:t>
            </w:r>
          </w:p>
          <w:p w14:paraId="22A98539">
            <w:pPr>
              <w:keepNext w:val="0"/>
              <w:keepLines w:val="0"/>
              <w:widowControl/>
              <w:numPr>
                <w:ilvl w:val="0"/>
                <w:numId w:val="5"/>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从段落到学术论文的过渡指导</w:t>
            </w:r>
          </w:p>
          <w:p w14:paraId="6B5ECFDC">
            <w:pPr>
              <w:keepNext w:val="0"/>
              <w:keepLines w:val="0"/>
              <w:widowControl/>
              <w:numPr>
                <w:ilvl w:val="0"/>
                <w:numId w:val="5"/>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写作过程概述，包括多次修改论文</w:t>
            </w:r>
          </w:p>
          <w:p w14:paraId="07997F66">
            <w:pPr>
              <w:keepNext w:val="0"/>
              <w:keepLines w:val="0"/>
              <w:widowControl/>
              <w:numPr>
                <w:ilvl w:val="0"/>
                <w:numId w:val="5"/>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练习连贯性、一致性、完整性与统一性的写作原则</w:t>
            </w:r>
          </w:p>
          <w:p w14:paraId="78489841">
            <w:pPr>
              <w:keepNext w:val="0"/>
              <w:keepLines w:val="0"/>
              <w:widowControl/>
              <w:numPr>
                <w:ilvl w:val="0"/>
                <w:numId w:val="5"/>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研究写作中的注意事项</w:t>
            </w:r>
          </w:p>
        </w:tc>
      </w:tr>
      <w:tr w14:paraId="4D731711">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4A46CD49">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4BFE0F36">
            <w:pPr>
              <w:keepNext w:val="0"/>
              <w:keepLines w:val="0"/>
              <w:widowControl/>
              <w:numPr>
                <w:ilvl w:val="0"/>
                <w:numId w:val="4"/>
              </w:numPr>
              <w:suppressLineNumbers w:val="0"/>
              <w:spacing w:before="0" w:beforeAutospacing="0" w:after="0" w:afterAutospacing="0"/>
              <w:ind w:left="0" w:leftChars="0" w:right="0" w:firstLine="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Oral Communication </w:t>
            </w:r>
            <w:r>
              <w:rPr>
                <w:rFonts w:hint="eastAsia" w:ascii="宋体" w:hAnsi="宋体" w:eastAsia="宋体" w:cs="宋体"/>
                <w:kern w:val="0"/>
                <w:sz w:val="16"/>
                <w:szCs w:val="16"/>
                <w:lang w:val="en-US" w:eastAsia="zh-CN" w:bidi="ar"/>
              </w:rPr>
              <w:t>口头交流</w:t>
            </w:r>
          </w:p>
          <w:p w14:paraId="3317E57E">
            <w:pPr>
              <w:keepNext w:val="0"/>
              <w:keepLines w:val="0"/>
              <w:widowControl/>
              <w:numPr>
                <w:ilvl w:val="0"/>
                <w:numId w:val="6"/>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提高流利度的活动</w:t>
            </w:r>
          </w:p>
          <w:p w14:paraId="5AB92C51">
            <w:pPr>
              <w:keepNext w:val="0"/>
              <w:keepLines w:val="0"/>
              <w:widowControl/>
              <w:numPr>
                <w:ilvl w:val="0"/>
                <w:numId w:val="6"/>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演讲技能的指导与反馈</w:t>
            </w:r>
          </w:p>
          <w:p w14:paraId="4920B80C">
            <w:pPr>
              <w:keepNext w:val="0"/>
              <w:keepLines w:val="0"/>
              <w:widowControl/>
              <w:numPr>
                <w:ilvl w:val="0"/>
                <w:numId w:val="6"/>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发音练习</w:t>
            </w:r>
          </w:p>
          <w:p w14:paraId="4F9999C4">
            <w:pPr>
              <w:keepNext w:val="0"/>
              <w:keepLines w:val="0"/>
              <w:widowControl/>
              <w:numPr>
                <w:ilvl w:val="0"/>
                <w:numId w:val="6"/>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听力与笔记技巧</w:t>
            </w:r>
          </w:p>
          <w:p w14:paraId="38CE6FA2">
            <w:pPr>
              <w:keepNext w:val="0"/>
              <w:keepLines w:val="0"/>
              <w:widowControl/>
              <w:numPr>
                <w:ilvl w:val="0"/>
                <w:numId w:val="6"/>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参与正式小组讨论</w:t>
            </w:r>
          </w:p>
        </w:tc>
      </w:tr>
      <w:tr w14:paraId="65AC3078">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6C502ACC">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63CF2F75">
            <w:pPr>
              <w:keepNext w:val="0"/>
              <w:keepLines w:val="0"/>
              <w:widowControl/>
              <w:numPr>
                <w:ilvl w:val="0"/>
                <w:numId w:val="4"/>
              </w:numPr>
              <w:suppressLineNumbers w:val="0"/>
              <w:spacing w:before="0" w:beforeAutospacing="0" w:after="0" w:afterAutospacing="0"/>
              <w:ind w:left="0" w:leftChars="0" w:right="0" w:firstLine="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Reading, Note-taking, and Vocabulary Development </w:t>
            </w:r>
            <w:r>
              <w:rPr>
                <w:rFonts w:hint="eastAsia" w:ascii="宋体" w:hAnsi="宋体" w:eastAsia="宋体" w:cs="宋体"/>
                <w:kern w:val="0"/>
                <w:sz w:val="16"/>
                <w:szCs w:val="16"/>
                <w:lang w:val="en-US" w:eastAsia="zh-CN" w:bidi="ar"/>
              </w:rPr>
              <w:t>阅读、笔记与词汇拓展</w:t>
            </w:r>
          </w:p>
          <w:p w14:paraId="31C1B271">
            <w:pPr>
              <w:keepNext w:val="0"/>
              <w:keepLines w:val="0"/>
              <w:widowControl/>
              <w:numPr>
                <w:ilvl w:val="0"/>
                <w:numId w:val="7"/>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提高阅读速度与准确性</w:t>
            </w:r>
          </w:p>
          <w:p w14:paraId="411F1FC2">
            <w:pPr>
              <w:keepNext w:val="0"/>
              <w:keepLines w:val="0"/>
              <w:widowControl/>
              <w:numPr>
                <w:ilvl w:val="0"/>
                <w:numId w:val="7"/>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通过语境理解词义</w:t>
            </w:r>
          </w:p>
          <w:p w14:paraId="1FD76AB7">
            <w:pPr>
              <w:keepNext w:val="0"/>
              <w:keepLines w:val="0"/>
              <w:widowControl/>
              <w:numPr>
                <w:ilvl w:val="0"/>
                <w:numId w:val="7"/>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从多篇文本中综合信息</w:t>
            </w:r>
          </w:p>
          <w:p w14:paraId="2DDD600F">
            <w:pPr>
              <w:keepNext w:val="0"/>
              <w:keepLines w:val="0"/>
              <w:widowControl/>
              <w:numPr>
                <w:ilvl w:val="0"/>
                <w:numId w:val="7"/>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笔记技巧的培养</w:t>
            </w:r>
          </w:p>
          <w:p w14:paraId="642553A8">
            <w:pPr>
              <w:keepNext w:val="0"/>
              <w:keepLines w:val="0"/>
              <w:widowControl/>
              <w:numPr>
                <w:ilvl w:val="0"/>
                <w:numId w:val="7"/>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使用官方学术词汇表提高词汇量</w:t>
            </w:r>
          </w:p>
        </w:tc>
      </w:tr>
      <w:tr w14:paraId="3FD0D105">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0AC30751">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0"/>
                <w:sz w:val="16"/>
                <w:szCs w:val="16"/>
              </w:rPr>
            </w:pPr>
            <w:r>
              <w:rPr>
                <w:rFonts w:hint="eastAsia" w:ascii="宋体" w:hAnsi="宋体" w:eastAsia="宋体" w:cs="宋体"/>
                <w:b/>
                <w:bCs/>
                <w:kern w:val="0"/>
                <w:sz w:val="16"/>
                <w:szCs w:val="16"/>
                <w:highlight w:val="none"/>
                <w:lang w:val="en-US" w:eastAsia="zh-CN" w:bidi="ar"/>
              </w:rPr>
              <w:t>任选两门专业课（可跨专业）</w:t>
            </w:r>
          </w:p>
        </w:tc>
      </w:tr>
      <w:tr w14:paraId="659196C9">
        <w:tc>
          <w:tcPr>
            <w:tcW w:w="1220" w:type="pct"/>
            <w:vMerge w:val="restart"/>
            <w:tcBorders>
              <w:top w:val="nil"/>
              <w:left w:val="single" w:color="auto" w:sz="4" w:space="0"/>
              <w:bottom w:val="single" w:color="auto" w:sz="4" w:space="0"/>
              <w:right w:val="single" w:color="auto" w:sz="4" w:space="0"/>
            </w:tcBorders>
            <w:shd w:val="clear" w:color="auto" w:fill="auto"/>
            <w:vAlign w:val="top"/>
          </w:tcPr>
          <w:p w14:paraId="0B4086FB">
            <w:pPr>
              <w:keepNext w:val="0"/>
              <w:keepLines w:val="0"/>
              <w:widowControl w:val="0"/>
              <w:suppressLineNumbers w:val="0"/>
              <w:wordWrap w:val="0"/>
              <w:autoSpaceDE w:val="0"/>
              <w:autoSpaceDN/>
              <w:spacing w:before="0" w:beforeAutospacing="0" w:after="0" w:afterAutospacing="0"/>
              <w:ind w:left="0" w:right="162" w:rightChars="77"/>
              <w:jc w:val="left"/>
              <w:rPr>
                <w:rFonts w:hint="eastAsia"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Business &amp; Accounting</w:t>
            </w:r>
            <w:r>
              <w:rPr>
                <w:rFonts w:hint="eastAsia" w:ascii="宋体" w:hAnsi="宋体" w:eastAsia="宋体" w:cs="宋体"/>
                <w:kern w:val="0"/>
                <w:sz w:val="16"/>
                <w:szCs w:val="16"/>
                <w:lang w:val="en-US" w:eastAsia="zh-CN" w:bidi="ar"/>
              </w:rPr>
              <w:t>商务</w:t>
            </w:r>
            <w:r>
              <w:rPr>
                <w:rFonts w:hint="default" w:ascii="Times New Roman" w:hAnsi="Times New Roman" w:eastAsia="宋体" w:cs="Times New Roman"/>
                <w:kern w:val="0"/>
                <w:sz w:val="16"/>
                <w:szCs w:val="16"/>
                <w:lang w:val="en-US" w:eastAsia="zh-CN" w:bidi="ar"/>
              </w:rPr>
              <w:t>&amp;</w:t>
            </w:r>
            <w:r>
              <w:rPr>
                <w:rFonts w:hint="eastAsia" w:ascii="宋体" w:hAnsi="宋体" w:eastAsia="宋体" w:cs="宋体"/>
                <w:kern w:val="0"/>
                <w:sz w:val="16"/>
                <w:szCs w:val="16"/>
                <w:lang w:val="en-US" w:eastAsia="zh-CN" w:bidi="ar"/>
              </w:rPr>
              <w:t>会计</w:t>
            </w:r>
          </w:p>
          <w:p w14:paraId="0F8F7CCF">
            <w:pPr>
              <w:keepNext w:val="0"/>
              <w:keepLines w:val="0"/>
              <w:widowControl w:val="0"/>
              <w:suppressLineNumbers w:val="0"/>
              <w:spacing w:before="0" w:beforeAutospacing="0" w:after="0" w:afterAutospacing="0"/>
              <w:ind w:left="0" w:right="-158" w:rightChars="-75"/>
              <w:jc w:val="left"/>
              <w:rPr>
                <w:rFonts w:hint="default" w:ascii="Times New Roman" w:hAnsi="Times New Roman" w:eastAsia="宋体" w:cs="Times New Roman"/>
                <w:kern w:val="0"/>
                <w:sz w:val="16"/>
                <w:szCs w:val="16"/>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7C8B149F">
            <w:pPr>
              <w:keepNext w:val="0"/>
              <w:keepLines w:val="0"/>
              <w:widowControl w:val="0"/>
              <w:numPr>
                <w:ilvl w:val="0"/>
                <w:numId w:val="8"/>
              </w:numPr>
              <w:suppressLineNumbers w:val="0"/>
              <w:spacing w:before="0" w:beforeAutospacing="0" w:after="0" w:afterAutospacing="0"/>
              <w:ind w:left="0" w:right="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Fundamentals of Marketing市场营销基础</w:t>
            </w:r>
          </w:p>
          <w:p w14:paraId="25E6C477">
            <w:pPr>
              <w:keepNext w:val="0"/>
              <w:keepLines w:val="0"/>
              <w:widowControl w:val="0"/>
              <w:numPr>
                <w:ilvl w:val="0"/>
                <w:numId w:val="9"/>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市场环境与消费者行为</w:t>
            </w:r>
          </w:p>
          <w:p w14:paraId="7B30E4BF">
            <w:pPr>
              <w:keepNext w:val="0"/>
              <w:keepLines w:val="0"/>
              <w:widowControl w:val="0"/>
              <w:numPr>
                <w:ilvl w:val="0"/>
                <w:numId w:val="9"/>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以客户为驱动的市场营销策略：为目标客户创造价值</w:t>
            </w:r>
          </w:p>
          <w:p w14:paraId="25473CDD">
            <w:pPr>
              <w:keepNext w:val="0"/>
              <w:keepLines w:val="0"/>
              <w:widowControl w:val="0"/>
              <w:numPr>
                <w:ilvl w:val="0"/>
                <w:numId w:val="9"/>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产品、服务、品牌及其生命周期</w:t>
            </w:r>
          </w:p>
          <w:p w14:paraId="734B2B05">
            <w:pPr>
              <w:keepNext w:val="0"/>
              <w:keepLines w:val="0"/>
              <w:widowControl w:val="0"/>
              <w:numPr>
                <w:ilvl w:val="0"/>
                <w:numId w:val="9"/>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定价、营销与沟通</w:t>
            </w:r>
          </w:p>
          <w:p w14:paraId="75F3C622">
            <w:pPr>
              <w:keepNext w:val="0"/>
              <w:keepLines w:val="0"/>
              <w:widowControl w:val="0"/>
              <w:numPr>
                <w:ilvl w:val="0"/>
                <w:numId w:val="9"/>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广告、公关及各类促销手段</w:t>
            </w:r>
          </w:p>
        </w:tc>
      </w:tr>
      <w:tr w14:paraId="23F8F85A">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64C3D330">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65B82EA1">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Principles of Finance</w:t>
            </w:r>
            <w:r>
              <w:rPr>
                <w:rFonts w:hint="eastAsia" w:ascii="宋体" w:hAnsi="宋体" w:eastAsia="宋体" w:cs="宋体"/>
                <w:kern w:val="0"/>
                <w:sz w:val="16"/>
                <w:szCs w:val="16"/>
                <w:lang w:val="en-US" w:eastAsia="zh-CN" w:bidi="ar"/>
              </w:rPr>
              <w:t>金融学原理</w:t>
            </w:r>
          </w:p>
          <w:p w14:paraId="5C0E215A">
            <w:pPr>
              <w:keepNext w:val="0"/>
              <w:keepLines w:val="0"/>
              <w:widowControl w:val="0"/>
              <w:numPr>
                <w:ilvl w:val="0"/>
                <w:numId w:val="10"/>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公司运营环境、财务报表与财务比率</w:t>
            </w:r>
          </w:p>
          <w:p w14:paraId="113E042A">
            <w:pPr>
              <w:keepNext w:val="0"/>
              <w:keepLines w:val="0"/>
              <w:widowControl w:val="0"/>
              <w:numPr>
                <w:ilvl w:val="0"/>
                <w:numId w:val="10"/>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不同类型的财务数值、利率与定期支付的计算</w:t>
            </w:r>
          </w:p>
          <w:p w14:paraId="1330D4B3">
            <w:pPr>
              <w:keepNext w:val="0"/>
              <w:keepLines w:val="0"/>
              <w:widowControl w:val="0"/>
              <w:numPr>
                <w:ilvl w:val="0"/>
                <w:numId w:val="10"/>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利率与资产价值以及投资回报之间的关系</w:t>
            </w:r>
          </w:p>
          <w:p w14:paraId="515669CD">
            <w:pPr>
              <w:keepNext w:val="0"/>
              <w:keepLines w:val="0"/>
              <w:widowControl w:val="0"/>
              <w:numPr>
                <w:ilvl w:val="0"/>
                <w:numId w:val="10"/>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资本预算、营运资金管理要素以及风险与回报的关系</w:t>
            </w:r>
          </w:p>
          <w:p w14:paraId="51BF1074">
            <w:pPr>
              <w:keepNext w:val="0"/>
              <w:keepLines w:val="0"/>
              <w:widowControl w:val="0"/>
              <w:numPr>
                <w:ilvl w:val="0"/>
                <w:numId w:val="10"/>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做出适当财务决策的基本知识</w:t>
            </w:r>
          </w:p>
        </w:tc>
      </w:tr>
      <w:tr w14:paraId="6FD80AE9">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28BE798E">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6C7AE85F">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Introduction to Accounting</w:t>
            </w:r>
            <w:r>
              <w:rPr>
                <w:rFonts w:hint="eastAsia" w:ascii="宋体" w:hAnsi="宋体" w:eastAsia="宋体" w:cs="宋体"/>
                <w:kern w:val="0"/>
                <w:sz w:val="16"/>
                <w:szCs w:val="16"/>
                <w:lang w:val="en-US" w:eastAsia="zh-CN" w:bidi="ar"/>
              </w:rPr>
              <w:t>会计学概论</w:t>
            </w:r>
          </w:p>
          <w:p w14:paraId="752879C4">
            <w:pPr>
              <w:keepNext w:val="0"/>
              <w:keepLines w:val="0"/>
              <w:widowControl w:val="0"/>
              <w:numPr>
                <w:ilvl w:val="0"/>
                <w:numId w:val="11"/>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会计周期</w:t>
            </w:r>
          </w:p>
          <w:p w14:paraId="4B2F5477">
            <w:pPr>
              <w:keepNext w:val="0"/>
              <w:keepLines w:val="0"/>
              <w:widowControl w:val="0"/>
              <w:numPr>
                <w:ilvl w:val="0"/>
                <w:numId w:val="11"/>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记录日记账条目与结账流程</w:t>
            </w:r>
          </w:p>
          <w:p w14:paraId="6537CD7D">
            <w:pPr>
              <w:keepNext w:val="0"/>
              <w:keepLines w:val="0"/>
              <w:widowControl w:val="0"/>
              <w:numPr>
                <w:ilvl w:val="0"/>
                <w:numId w:val="11"/>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分类资产负债表及相关披露</w:t>
            </w:r>
          </w:p>
          <w:p w14:paraId="27A58F2D">
            <w:pPr>
              <w:keepNext w:val="0"/>
              <w:keepLines w:val="0"/>
              <w:widowControl w:val="0"/>
              <w:numPr>
                <w:ilvl w:val="0"/>
                <w:numId w:val="11"/>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内部控制</w:t>
            </w:r>
          </w:p>
          <w:p w14:paraId="736821EF">
            <w:pPr>
              <w:keepNext w:val="0"/>
              <w:keepLines w:val="0"/>
              <w:widowControl w:val="0"/>
              <w:numPr>
                <w:ilvl w:val="0"/>
                <w:numId w:val="11"/>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资产挪用项目</w:t>
            </w:r>
          </w:p>
        </w:tc>
      </w:tr>
      <w:tr w14:paraId="1B88D5DD">
        <w:tc>
          <w:tcPr>
            <w:tcW w:w="1220" w:type="pct"/>
            <w:vMerge w:val="restart"/>
            <w:tcBorders>
              <w:top w:val="nil"/>
              <w:left w:val="single" w:color="auto" w:sz="4" w:space="0"/>
              <w:bottom w:val="single" w:color="auto" w:sz="4" w:space="0"/>
              <w:right w:val="single" w:color="auto" w:sz="4" w:space="0"/>
            </w:tcBorders>
            <w:shd w:val="clear" w:color="auto" w:fill="auto"/>
            <w:vAlign w:val="top"/>
          </w:tcPr>
          <w:p w14:paraId="1825B25B">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Computer science </w:t>
            </w:r>
          </w:p>
          <w:p w14:paraId="0E6A1D93">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16"/>
                <w:szCs w:val="16"/>
              </w:rPr>
            </w:pPr>
            <w:r>
              <w:rPr>
                <w:rFonts w:hint="eastAsia" w:ascii="宋体" w:hAnsi="宋体" w:eastAsia="宋体" w:cs="宋体"/>
                <w:kern w:val="0"/>
                <w:sz w:val="16"/>
                <w:szCs w:val="16"/>
                <w:lang w:val="en-US" w:eastAsia="zh-CN" w:bidi="ar"/>
              </w:rPr>
              <w:t>计算机科学</w:t>
            </w: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765AD9D1">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Introduction to Big Data &amp; Data Mining (prerequisite: basic Python programming</w:t>
            </w:r>
          </w:p>
          <w:p w14:paraId="7F746463">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16"/>
                <w:szCs w:val="16"/>
                <w:lang w:val="en-US" w:eastAsia="zh-CN" w:bidi="ar"/>
              </w:rPr>
            </w:pPr>
            <w:r>
              <w:rPr>
                <w:rFonts w:hint="eastAsia" w:ascii="宋体" w:hAnsi="宋体" w:eastAsia="宋体" w:cs="宋体"/>
                <w:kern w:val="0"/>
                <w:sz w:val="16"/>
                <w:szCs w:val="16"/>
                <w:lang w:val="en-US" w:eastAsia="zh-CN" w:bidi="ar"/>
              </w:rPr>
              <w:t>大数据和数据挖掘概论（先修课程：有基础</w:t>
            </w:r>
            <w:r>
              <w:rPr>
                <w:rFonts w:hint="default" w:ascii="Times New Roman" w:hAnsi="Times New Roman" w:eastAsia="宋体" w:cs="Times New Roman"/>
                <w:kern w:val="0"/>
                <w:sz w:val="16"/>
                <w:szCs w:val="16"/>
                <w:lang w:val="en-US" w:eastAsia="zh-CN" w:bidi="ar"/>
              </w:rPr>
              <w:t>python</w:t>
            </w:r>
            <w:r>
              <w:rPr>
                <w:rFonts w:hint="eastAsia" w:ascii="宋体" w:hAnsi="宋体" w:eastAsia="宋体" w:cs="宋体"/>
                <w:kern w:val="0"/>
                <w:sz w:val="16"/>
                <w:szCs w:val="16"/>
                <w:lang w:val="en-US" w:eastAsia="zh-CN" w:bidi="ar"/>
              </w:rPr>
              <w:t>编程经验）</w:t>
            </w:r>
          </w:p>
          <w:p w14:paraId="1639325E">
            <w:pPr>
              <w:keepNext w:val="0"/>
              <w:keepLines w:val="0"/>
              <w:widowControl w:val="0"/>
              <w:numPr>
                <w:ilvl w:val="0"/>
                <w:numId w:val="12"/>
              </w:numPr>
              <w:suppressLineNumbers w:val="0"/>
              <w:spacing w:before="0" w:beforeAutospacing="0" w:after="0" w:afterAutospacing="0"/>
              <w:ind w:left="420" w:leftChars="0" w:right="0" w:hanging="420" w:firstLineChars="0"/>
              <w:jc w:val="both"/>
              <w:rPr>
                <w:rFonts w:hint="default" w:ascii="宋体" w:hAnsi="宋体" w:eastAsia="宋体" w:cs="宋体"/>
                <w:kern w:val="0"/>
                <w:sz w:val="16"/>
                <w:szCs w:val="16"/>
                <w:lang w:val="en-US" w:eastAsia="zh-CN" w:bidi="ar"/>
              </w:rPr>
            </w:pPr>
            <w:r>
              <w:rPr>
                <w:rFonts w:hint="default" w:ascii="宋体" w:hAnsi="宋体" w:eastAsia="宋体" w:cs="宋体"/>
                <w:kern w:val="0"/>
                <w:sz w:val="16"/>
                <w:szCs w:val="16"/>
                <w:lang w:val="en-US" w:eastAsia="zh-CN" w:bidi="ar"/>
              </w:rPr>
              <w:t>将数据挖掘与学生的专业领域相结合</w:t>
            </w:r>
          </w:p>
          <w:p w14:paraId="2BB2074E">
            <w:pPr>
              <w:keepNext w:val="0"/>
              <w:keepLines w:val="0"/>
              <w:widowControl w:val="0"/>
              <w:numPr>
                <w:ilvl w:val="0"/>
                <w:numId w:val="12"/>
              </w:numPr>
              <w:suppressLineNumbers w:val="0"/>
              <w:spacing w:before="0" w:beforeAutospacing="0" w:after="0" w:afterAutospacing="0"/>
              <w:ind w:left="420" w:leftChars="0" w:right="0" w:hanging="420" w:firstLineChars="0"/>
              <w:jc w:val="both"/>
              <w:rPr>
                <w:rFonts w:hint="default" w:ascii="宋体" w:hAnsi="宋体" w:eastAsia="宋体" w:cs="宋体"/>
                <w:kern w:val="0"/>
                <w:sz w:val="16"/>
                <w:szCs w:val="16"/>
                <w:lang w:val="en-US" w:eastAsia="zh-CN" w:bidi="ar"/>
              </w:rPr>
            </w:pPr>
            <w:r>
              <w:rPr>
                <w:rFonts w:hint="default" w:ascii="宋体" w:hAnsi="宋体" w:eastAsia="宋体" w:cs="宋体"/>
                <w:kern w:val="0"/>
                <w:sz w:val="16"/>
                <w:szCs w:val="16"/>
                <w:lang w:val="en-US" w:eastAsia="zh-CN" w:bidi="ar"/>
              </w:rPr>
              <w:t>应用AI技术解决实际问题</w:t>
            </w:r>
          </w:p>
          <w:p w14:paraId="40DD1312">
            <w:pPr>
              <w:keepNext w:val="0"/>
              <w:keepLines w:val="0"/>
              <w:widowControl w:val="0"/>
              <w:numPr>
                <w:ilvl w:val="0"/>
                <w:numId w:val="12"/>
              </w:numPr>
              <w:suppressLineNumbers w:val="0"/>
              <w:spacing w:before="0" w:beforeAutospacing="0" w:after="0" w:afterAutospacing="0"/>
              <w:ind w:left="420" w:leftChars="0" w:right="0" w:hanging="420" w:firstLineChars="0"/>
              <w:jc w:val="both"/>
              <w:rPr>
                <w:rFonts w:hint="default" w:ascii="宋体" w:hAnsi="宋体" w:eastAsia="宋体" w:cs="宋体"/>
                <w:kern w:val="0"/>
                <w:sz w:val="16"/>
                <w:szCs w:val="16"/>
                <w:lang w:val="en-US" w:eastAsia="zh-CN" w:bidi="ar"/>
              </w:rPr>
            </w:pPr>
            <w:r>
              <w:rPr>
                <w:rFonts w:hint="default" w:ascii="宋体" w:hAnsi="宋体" w:eastAsia="宋体" w:cs="宋体"/>
                <w:kern w:val="0"/>
                <w:sz w:val="16"/>
                <w:szCs w:val="16"/>
                <w:lang w:val="en-US" w:eastAsia="zh-CN" w:bidi="ar"/>
              </w:rPr>
              <w:t>项目提案：选择改进现有方法、将算法应用于新问题、压力测试或设计新方法</w:t>
            </w:r>
          </w:p>
          <w:p w14:paraId="0E717E74">
            <w:pPr>
              <w:keepNext w:val="0"/>
              <w:keepLines w:val="0"/>
              <w:widowControl w:val="0"/>
              <w:numPr>
                <w:ilvl w:val="0"/>
                <w:numId w:val="12"/>
              </w:numPr>
              <w:suppressLineNumbers w:val="0"/>
              <w:spacing w:before="0" w:beforeAutospacing="0" w:after="0" w:afterAutospacing="0"/>
              <w:ind w:left="420" w:leftChars="0" w:right="0" w:hanging="420" w:firstLineChars="0"/>
              <w:jc w:val="both"/>
              <w:rPr>
                <w:rFonts w:hint="default" w:ascii="宋体" w:hAnsi="宋体" w:eastAsia="宋体" w:cs="宋体"/>
                <w:kern w:val="0"/>
                <w:sz w:val="16"/>
                <w:szCs w:val="16"/>
                <w:lang w:val="en-US" w:eastAsia="zh-CN" w:bidi="ar"/>
              </w:rPr>
            </w:pPr>
            <w:r>
              <w:rPr>
                <w:rFonts w:hint="default" w:ascii="宋体" w:hAnsi="宋体" w:eastAsia="宋体" w:cs="宋体"/>
                <w:kern w:val="0"/>
                <w:sz w:val="16"/>
                <w:szCs w:val="16"/>
                <w:lang w:val="en-US" w:eastAsia="zh-CN" w:bidi="ar"/>
              </w:rPr>
              <w:t>通过允许学生在项目提案中混合搭配方法，强调创造力</w:t>
            </w:r>
          </w:p>
        </w:tc>
      </w:tr>
      <w:tr w14:paraId="16152725">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1AD68049">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1094878E">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Java Programming  Java</w:t>
            </w:r>
            <w:r>
              <w:rPr>
                <w:rFonts w:hint="eastAsia" w:ascii="宋体" w:hAnsi="宋体" w:eastAsia="宋体" w:cs="宋体"/>
                <w:kern w:val="0"/>
                <w:sz w:val="16"/>
                <w:szCs w:val="16"/>
                <w:lang w:val="en-US" w:eastAsia="zh-CN" w:bidi="ar"/>
              </w:rPr>
              <w:t>编程</w:t>
            </w:r>
          </w:p>
          <w:p w14:paraId="670BF554">
            <w:pPr>
              <w:keepNext w:val="0"/>
              <w:keepLines w:val="0"/>
              <w:widowControl w:val="0"/>
              <w:numPr>
                <w:ilvl w:val="0"/>
                <w:numId w:val="13"/>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Java方法、引用与变量</w:t>
            </w:r>
          </w:p>
          <w:p w14:paraId="18DE3E15">
            <w:pPr>
              <w:keepNext w:val="0"/>
              <w:keepLines w:val="0"/>
              <w:widowControl w:val="0"/>
              <w:numPr>
                <w:ilvl w:val="0"/>
                <w:numId w:val="13"/>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Linux基础知识</w:t>
            </w:r>
          </w:p>
          <w:p w14:paraId="25E5CEC9">
            <w:pPr>
              <w:keepNext w:val="0"/>
              <w:keepLines w:val="0"/>
              <w:widowControl w:val="0"/>
              <w:numPr>
                <w:ilvl w:val="0"/>
                <w:numId w:val="13"/>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面向对象编程与网络编程</w:t>
            </w:r>
          </w:p>
          <w:p w14:paraId="066DEE9D">
            <w:pPr>
              <w:keepNext w:val="0"/>
              <w:keepLines w:val="0"/>
              <w:widowControl w:val="0"/>
              <w:numPr>
                <w:ilvl w:val="0"/>
                <w:numId w:val="13"/>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单元测试、调试与多线程</w:t>
            </w:r>
          </w:p>
          <w:p w14:paraId="346A06BB">
            <w:pPr>
              <w:keepNext w:val="0"/>
              <w:keepLines w:val="0"/>
              <w:widowControl w:val="0"/>
              <w:numPr>
                <w:ilvl w:val="0"/>
                <w:numId w:val="13"/>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Java异常处理与Java图形库</w:t>
            </w:r>
          </w:p>
        </w:tc>
      </w:tr>
      <w:tr w14:paraId="7E606CC5">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3536A845">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656D0C76">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Python Programming  Python</w:t>
            </w:r>
            <w:r>
              <w:rPr>
                <w:rFonts w:hint="eastAsia" w:ascii="宋体" w:hAnsi="宋体" w:eastAsia="宋体" w:cs="宋体"/>
                <w:kern w:val="0"/>
                <w:sz w:val="16"/>
                <w:szCs w:val="16"/>
                <w:lang w:val="en-US" w:eastAsia="zh-CN" w:bidi="ar"/>
              </w:rPr>
              <w:t>编程</w:t>
            </w:r>
          </w:p>
          <w:p w14:paraId="6E3A33F5">
            <w:pPr>
              <w:keepNext w:val="0"/>
              <w:keepLines w:val="0"/>
              <w:widowControl w:val="0"/>
              <w:numPr>
                <w:ilvl w:val="0"/>
                <w:numId w:val="14"/>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实用编程技能与Python熟练度</w:t>
            </w:r>
          </w:p>
          <w:p w14:paraId="382B3E6B">
            <w:pPr>
              <w:keepNext w:val="0"/>
              <w:keepLines w:val="0"/>
              <w:widowControl w:val="0"/>
              <w:numPr>
                <w:ilvl w:val="0"/>
                <w:numId w:val="14"/>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核心面向对象编程</w:t>
            </w:r>
          </w:p>
          <w:p w14:paraId="069D8F58">
            <w:pPr>
              <w:keepNext w:val="0"/>
              <w:keepLines w:val="0"/>
              <w:widowControl w:val="0"/>
              <w:numPr>
                <w:ilvl w:val="0"/>
                <w:numId w:val="14"/>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高效的代码组织</w:t>
            </w:r>
          </w:p>
          <w:p w14:paraId="5F1DDBA8">
            <w:pPr>
              <w:keepNext w:val="0"/>
              <w:keepLines w:val="0"/>
              <w:widowControl w:val="0"/>
              <w:numPr>
                <w:ilvl w:val="0"/>
                <w:numId w:val="14"/>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行业标准编码挑战等实践练习</w:t>
            </w:r>
          </w:p>
          <w:p w14:paraId="3FCB8F47">
            <w:pPr>
              <w:keepNext w:val="0"/>
              <w:keepLines w:val="0"/>
              <w:widowControl w:val="0"/>
              <w:numPr>
                <w:ilvl w:val="0"/>
                <w:numId w:val="14"/>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构建独特的Python游戏</w:t>
            </w:r>
          </w:p>
        </w:tc>
      </w:tr>
      <w:tr w14:paraId="51F647EC">
        <w:tc>
          <w:tcPr>
            <w:tcW w:w="1220" w:type="pct"/>
            <w:vMerge w:val="restart"/>
            <w:tcBorders>
              <w:top w:val="nil"/>
              <w:left w:val="single" w:color="auto" w:sz="4" w:space="0"/>
              <w:bottom w:val="single" w:color="auto" w:sz="4" w:space="0"/>
              <w:right w:val="single" w:color="auto" w:sz="4" w:space="0"/>
            </w:tcBorders>
            <w:shd w:val="clear" w:color="auto" w:fill="auto"/>
            <w:vAlign w:val="top"/>
          </w:tcPr>
          <w:p w14:paraId="3FCA82DF">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Engineering</w:t>
            </w:r>
            <w:r>
              <w:rPr>
                <w:rFonts w:hint="eastAsia" w:ascii="宋体" w:hAnsi="宋体" w:eastAsia="宋体" w:cs="宋体"/>
                <w:kern w:val="0"/>
                <w:sz w:val="16"/>
                <w:szCs w:val="16"/>
                <w:lang w:val="en-US" w:eastAsia="zh-CN" w:bidi="ar"/>
              </w:rPr>
              <w:t>工程</w:t>
            </w: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0FAC115C">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Engineering Design </w:t>
            </w:r>
            <w:r>
              <w:rPr>
                <w:rFonts w:hint="eastAsia" w:ascii="宋体" w:hAnsi="宋体" w:eastAsia="宋体" w:cs="宋体"/>
                <w:kern w:val="0"/>
                <w:sz w:val="16"/>
                <w:szCs w:val="16"/>
                <w:lang w:val="en-US" w:eastAsia="zh-CN" w:bidi="ar"/>
              </w:rPr>
              <w:t>工程设计</w:t>
            </w:r>
          </w:p>
          <w:p w14:paraId="1F8534BF">
            <w:pPr>
              <w:keepNext w:val="0"/>
              <w:keepLines w:val="0"/>
              <w:widowControl w:val="0"/>
              <w:numPr>
                <w:ilvl w:val="0"/>
                <w:numId w:val="15"/>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问题表述与规格开发</w:t>
            </w:r>
          </w:p>
          <w:p w14:paraId="676166C3">
            <w:pPr>
              <w:keepNext w:val="0"/>
              <w:keepLines w:val="0"/>
              <w:widowControl w:val="0"/>
              <w:numPr>
                <w:ilvl w:val="0"/>
                <w:numId w:val="15"/>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概念生成与选择</w:t>
            </w:r>
          </w:p>
          <w:p w14:paraId="5E5C84AD">
            <w:pPr>
              <w:keepNext w:val="0"/>
              <w:keepLines w:val="0"/>
              <w:widowControl w:val="0"/>
              <w:numPr>
                <w:ilvl w:val="0"/>
                <w:numId w:val="15"/>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产品重新设计项目</w:t>
            </w:r>
          </w:p>
          <w:p w14:paraId="59E3FCAB">
            <w:pPr>
              <w:keepNext w:val="0"/>
              <w:keepLines w:val="0"/>
              <w:widowControl w:val="0"/>
              <w:numPr>
                <w:ilvl w:val="0"/>
                <w:numId w:val="15"/>
              </w:numPr>
              <w:suppressLineNumbers w:val="0"/>
              <w:spacing w:before="0" w:beforeAutospacing="0" w:after="0" w:afterAutospacing="0"/>
              <w:ind w:left="420" w:leftChars="0" w:right="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概念设计项目</w:t>
            </w:r>
          </w:p>
        </w:tc>
      </w:tr>
      <w:tr w14:paraId="6B5FED2C">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5286E16B">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0E6E4492">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Engineering Physics </w:t>
            </w:r>
            <w:r>
              <w:rPr>
                <w:rFonts w:hint="eastAsia" w:ascii="宋体" w:hAnsi="宋体" w:eastAsia="宋体" w:cs="宋体"/>
                <w:kern w:val="0"/>
                <w:sz w:val="16"/>
                <w:szCs w:val="16"/>
                <w:lang w:val="en-US" w:eastAsia="zh-CN" w:bidi="ar"/>
              </w:rPr>
              <w:t>工程物理学</w:t>
            </w:r>
          </w:p>
          <w:p w14:paraId="47B2F2C3">
            <w:pPr>
              <w:keepNext w:val="0"/>
              <w:keepLines w:val="0"/>
              <w:widowControl w:val="0"/>
              <w:numPr>
                <w:ilvl w:val="0"/>
                <w:numId w:val="16"/>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结构分析与静力平衡问题</w:t>
            </w:r>
          </w:p>
          <w:p w14:paraId="6A1464A6">
            <w:pPr>
              <w:keepNext w:val="0"/>
              <w:keepLines w:val="0"/>
              <w:widowControl w:val="0"/>
              <w:numPr>
                <w:ilvl w:val="0"/>
                <w:numId w:val="16"/>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动力学原理的应用</w:t>
            </w:r>
          </w:p>
          <w:p w14:paraId="557F9878">
            <w:pPr>
              <w:keepNext w:val="0"/>
              <w:keepLines w:val="0"/>
              <w:widowControl w:val="0"/>
              <w:numPr>
                <w:ilvl w:val="0"/>
                <w:numId w:val="16"/>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分析简单电路以确定其特征</w:t>
            </w:r>
          </w:p>
          <w:p w14:paraId="66AF43F7">
            <w:pPr>
              <w:keepNext w:val="0"/>
              <w:keepLines w:val="0"/>
              <w:widowControl w:val="0"/>
              <w:numPr>
                <w:ilvl w:val="0"/>
                <w:numId w:val="16"/>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通过简单实验测试物理概念</w:t>
            </w:r>
          </w:p>
        </w:tc>
      </w:tr>
      <w:tr w14:paraId="42410802">
        <w:tc>
          <w:tcPr>
            <w:tcW w:w="1220" w:type="pct"/>
            <w:vMerge w:val="restart"/>
            <w:tcBorders>
              <w:top w:val="nil"/>
              <w:left w:val="single" w:color="auto" w:sz="4" w:space="0"/>
              <w:bottom w:val="single" w:color="auto" w:sz="4" w:space="0"/>
              <w:right w:val="single" w:color="auto" w:sz="4" w:space="0"/>
            </w:tcBorders>
            <w:shd w:val="clear" w:color="auto" w:fill="auto"/>
            <w:vAlign w:val="top"/>
          </w:tcPr>
          <w:p w14:paraId="1F7C96C3">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Social Science &amp; Humanities </w:t>
            </w:r>
          </w:p>
          <w:p w14:paraId="380D9FCE">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kern w:val="0"/>
                <w:sz w:val="16"/>
                <w:szCs w:val="16"/>
              </w:rPr>
            </w:pPr>
            <w:r>
              <w:rPr>
                <w:rFonts w:hint="eastAsia" w:ascii="宋体" w:hAnsi="宋体" w:eastAsia="宋体" w:cs="宋体"/>
                <w:kern w:val="0"/>
                <w:sz w:val="16"/>
                <w:szCs w:val="16"/>
                <w:lang w:val="en-US" w:eastAsia="zh-CN" w:bidi="ar"/>
              </w:rPr>
              <w:t>社会科学与人文</w:t>
            </w:r>
          </w:p>
          <w:p w14:paraId="1B744A33">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16"/>
                <w:szCs w:val="16"/>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3C30CF5D">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Western Culture &amp; Communication Strategies西方文化与</w:t>
            </w:r>
            <w:r>
              <w:rPr>
                <w:rFonts w:hint="eastAsia" w:ascii="Times New Roman" w:hAnsi="Times New Roman" w:eastAsia="宋体" w:cs="Times New Roman"/>
                <w:kern w:val="0"/>
                <w:sz w:val="16"/>
                <w:szCs w:val="16"/>
                <w:lang w:val="en-US" w:eastAsia="zh-CN"/>
              </w:rPr>
              <w:t>沟通</w:t>
            </w:r>
            <w:r>
              <w:rPr>
                <w:rFonts w:hint="default" w:ascii="Times New Roman" w:hAnsi="Times New Roman" w:eastAsia="宋体" w:cs="Times New Roman"/>
                <w:kern w:val="0"/>
                <w:sz w:val="16"/>
                <w:szCs w:val="16"/>
              </w:rPr>
              <w:t>策略</w:t>
            </w:r>
          </w:p>
          <w:p w14:paraId="3DF3BE8B">
            <w:pPr>
              <w:keepNext w:val="0"/>
              <w:keepLines w:val="0"/>
              <w:widowControl w:val="0"/>
              <w:numPr>
                <w:ilvl w:val="0"/>
                <w:numId w:val="17"/>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历史与流行文化概述</w:t>
            </w:r>
          </w:p>
          <w:p w14:paraId="1F7038D6">
            <w:pPr>
              <w:keepNext w:val="0"/>
              <w:keepLines w:val="0"/>
              <w:widowControl w:val="0"/>
              <w:numPr>
                <w:ilvl w:val="0"/>
                <w:numId w:val="17"/>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不同沟通风格的语言与技能策略</w:t>
            </w:r>
          </w:p>
          <w:p w14:paraId="6A0E2A45">
            <w:pPr>
              <w:keepNext w:val="0"/>
              <w:keepLines w:val="0"/>
              <w:widowControl w:val="0"/>
              <w:numPr>
                <w:ilvl w:val="0"/>
                <w:numId w:val="17"/>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熟悉多种方言口音、俚语、习语和历史背景</w:t>
            </w:r>
          </w:p>
          <w:p w14:paraId="7B272FC1">
            <w:pPr>
              <w:keepNext w:val="0"/>
              <w:keepLines w:val="0"/>
              <w:widowControl w:val="0"/>
              <w:numPr>
                <w:ilvl w:val="0"/>
                <w:numId w:val="17"/>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应用初级与次级研究技能</w:t>
            </w:r>
          </w:p>
          <w:p w14:paraId="787E4B5C">
            <w:pPr>
              <w:keepNext w:val="0"/>
              <w:keepLines w:val="0"/>
              <w:widowControl w:val="0"/>
              <w:numPr>
                <w:ilvl w:val="0"/>
                <w:numId w:val="17"/>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实地考察与课堂项目实践</w:t>
            </w:r>
          </w:p>
        </w:tc>
      </w:tr>
      <w:tr w14:paraId="7C3F6E2B">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75DA63F0">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5D763253">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Geopolitics in Asia亚洲地缘政治</w:t>
            </w:r>
          </w:p>
          <w:p w14:paraId="7A571D48">
            <w:pPr>
              <w:keepNext w:val="0"/>
              <w:keepLines w:val="0"/>
              <w:widowControl w:val="0"/>
              <w:numPr>
                <w:ilvl w:val="0"/>
                <w:numId w:val="18"/>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地缘政治基础知识</w:t>
            </w:r>
          </w:p>
          <w:p w14:paraId="4B1E5BA7">
            <w:pPr>
              <w:keepNext w:val="0"/>
              <w:keepLines w:val="0"/>
              <w:widowControl w:val="0"/>
              <w:numPr>
                <w:ilvl w:val="0"/>
                <w:numId w:val="18"/>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对选定地区与广泛网络的分析</w:t>
            </w:r>
          </w:p>
          <w:p w14:paraId="6EC69823">
            <w:pPr>
              <w:keepNext w:val="0"/>
              <w:keepLines w:val="0"/>
              <w:widowControl w:val="0"/>
              <w:numPr>
                <w:ilvl w:val="0"/>
                <w:numId w:val="18"/>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跨界河流的研究</w:t>
            </w:r>
          </w:p>
          <w:p w14:paraId="537AFE2D">
            <w:pPr>
              <w:keepNext w:val="0"/>
              <w:keepLines w:val="0"/>
              <w:widowControl w:val="0"/>
              <w:numPr>
                <w:ilvl w:val="0"/>
                <w:numId w:val="18"/>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南海争议讨论</w:t>
            </w:r>
          </w:p>
        </w:tc>
      </w:tr>
      <w:tr w14:paraId="22D6B036">
        <w:trPr>
          <w:trHeight w:val="278" w:hRule="atLeast"/>
        </w:trPr>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438E458D">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756592CD">
            <w:pPr>
              <w:keepNext w:val="0"/>
              <w:keepLines w:val="0"/>
              <w:widowControl w:val="0"/>
              <w:numPr>
                <w:ilvl w:val="0"/>
                <w:numId w:val="8"/>
              </w:numPr>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Cognition and Human Learning </w:t>
            </w:r>
            <w:r>
              <w:rPr>
                <w:rFonts w:hint="eastAsia" w:ascii="宋体" w:hAnsi="宋体" w:eastAsia="宋体" w:cs="宋体"/>
                <w:kern w:val="0"/>
                <w:sz w:val="16"/>
                <w:szCs w:val="16"/>
                <w:lang w:val="en-US" w:eastAsia="zh-CN" w:bidi="ar"/>
              </w:rPr>
              <w:t>认知与人类学习</w:t>
            </w:r>
          </w:p>
          <w:p w14:paraId="47A0819A">
            <w:pPr>
              <w:keepNext w:val="0"/>
              <w:keepLines w:val="0"/>
              <w:widowControl w:val="0"/>
              <w:numPr>
                <w:ilvl w:val="0"/>
                <w:numId w:val="19"/>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学习与动机的理论视角概述</w:t>
            </w:r>
          </w:p>
          <w:p w14:paraId="28D3858B">
            <w:pPr>
              <w:keepNext w:val="0"/>
              <w:keepLines w:val="0"/>
              <w:widowControl w:val="0"/>
              <w:numPr>
                <w:ilvl w:val="0"/>
                <w:numId w:val="19"/>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各种行为方法学与人类发展理论的分析</w:t>
            </w:r>
          </w:p>
          <w:p w14:paraId="5FC967FF">
            <w:pPr>
              <w:keepNext w:val="0"/>
              <w:keepLines w:val="0"/>
              <w:widowControl w:val="0"/>
              <w:numPr>
                <w:ilvl w:val="0"/>
                <w:numId w:val="19"/>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多元文化问题回顾：物质滥用/成瘾、基本治疗技能与诊断信息</w:t>
            </w:r>
          </w:p>
          <w:p w14:paraId="06C3F64B">
            <w:pPr>
              <w:keepNext w:val="0"/>
              <w:keepLines w:val="0"/>
              <w:widowControl w:val="0"/>
              <w:numPr>
                <w:ilvl w:val="0"/>
                <w:numId w:val="19"/>
              </w:numPr>
              <w:suppressLineNumbers w:val="0"/>
              <w:spacing w:before="0" w:beforeAutospacing="0" w:after="0" w:afterAutospacing="0"/>
              <w:ind w:left="420" w:leftChars="0" w:right="0" w:rightChars="0" w:hanging="420" w:firstLineChars="0"/>
              <w:jc w:val="both"/>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在实际情境中与同伴一起应用干预措施与评估方法</w:t>
            </w:r>
          </w:p>
        </w:tc>
      </w:tr>
      <w:tr w14:paraId="280D61B1">
        <w:tc>
          <w:tcPr>
            <w:tcW w:w="1220" w:type="pct"/>
            <w:vMerge w:val="continue"/>
            <w:tcBorders>
              <w:top w:val="nil"/>
              <w:left w:val="single" w:color="auto" w:sz="4" w:space="0"/>
              <w:bottom w:val="single" w:color="auto" w:sz="4" w:space="0"/>
              <w:right w:val="single" w:color="auto" w:sz="4" w:space="0"/>
            </w:tcBorders>
            <w:shd w:val="clear" w:color="auto" w:fill="auto"/>
            <w:vAlign w:val="top"/>
          </w:tcPr>
          <w:p w14:paraId="159A6C84">
            <w:pPr>
              <w:keepNext w:val="0"/>
              <w:keepLines w:val="0"/>
              <w:suppressLineNumbers w:val="0"/>
              <w:spacing w:before="0" w:beforeAutospacing="0" w:after="0" w:afterAutospacing="0"/>
              <w:ind w:left="0" w:right="0"/>
              <w:rPr>
                <w:rFonts w:hint="default" w:ascii="Times New Roman" w:hAnsi="Times New Roman" w:cs="Calibri"/>
                <w:sz w:val="20"/>
                <w:szCs w:val="20"/>
              </w:rPr>
            </w:pP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0150F2B4">
            <w:pPr>
              <w:keepNext w:val="0"/>
              <w:keepLines w:val="0"/>
              <w:widowControl/>
              <w:numPr>
                <w:ilvl w:val="0"/>
                <w:numId w:val="8"/>
              </w:numPr>
              <w:suppressLineNumbers w:val="0"/>
              <w:spacing w:before="0" w:beforeAutospacing="0" w:after="0" w:afterAutospacing="0"/>
              <w:ind w:left="0" w:leftChars="0" w:right="0" w:firstLine="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Introduction to Advertising </w:t>
            </w:r>
            <w:r>
              <w:rPr>
                <w:rFonts w:hint="eastAsia" w:ascii="宋体" w:hAnsi="宋体" w:eastAsia="宋体" w:cs="宋体"/>
                <w:kern w:val="0"/>
                <w:sz w:val="16"/>
                <w:szCs w:val="16"/>
                <w:lang w:val="en-US" w:eastAsia="zh-CN" w:bidi="ar"/>
              </w:rPr>
              <w:t>广告学</w:t>
            </w:r>
          </w:p>
          <w:p w14:paraId="61274A0A">
            <w:pPr>
              <w:keepNext w:val="0"/>
              <w:keepLines w:val="0"/>
              <w:widowControl/>
              <w:numPr>
                <w:ilvl w:val="0"/>
                <w:numId w:val="20"/>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围绕广告的社会与伦理问题</w:t>
            </w:r>
          </w:p>
          <w:p w14:paraId="1C48F378">
            <w:pPr>
              <w:keepNext w:val="0"/>
              <w:keepLines w:val="0"/>
              <w:widowControl/>
              <w:numPr>
                <w:ilvl w:val="0"/>
                <w:numId w:val="20"/>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执行广告活动时使用的标准</w:t>
            </w:r>
          </w:p>
          <w:p w14:paraId="3D9470E5">
            <w:pPr>
              <w:keepNext w:val="0"/>
              <w:keepLines w:val="0"/>
              <w:widowControl/>
              <w:numPr>
                <w:ilvl w:val="0"/>
                <w:numId w:val="20"/>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广告活动的组成部分，如策略与研究</w:t>
            </w:r>
          </w:p>
          <w:p w14:paraId="1F4C1F31">
            <w:pPr>
              <w:keepNext w:val="0"/>
              <w:keepLines w:val="0"/>
              <w:widowControl/>
              <w:numPr>
                <w:ilvl w:val="0"/>
                <w:numId w:val="20"/>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广告领域的人员与职位多样性</w:t>
            </w:r>
          </w:p>
          <w:p w14:paraId="242FCCE7">
            <w:pPr>
              <w:keepNext w:val="0"/>
              <w:keepLines w:val="0"/>
              <w:widowControl/>
              <w:numPr>
                <w:ilvl w:val="0"/>
                <w:numId w:val="20"/>
              </w:numPr>
              <w:suppressLineNumbers w:val="0"/>
              <w:spacing w:before="0" w:beforeAutospacing="0" w:after="0" w:afterAutospacing="0"/>
              <w:ind w:left="420" w:leftChars="0" w:right="0" w:rightChars="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广告历史及其对现代实践的影响</w:t>
            </w:r>
          </w:p>
        </w:tc>
      </w:tr>
      <w:tr w14:paraId="2DF229BA">
        <w:trPr>
          <w:trHeight w:val="310" w:hRule="atLeast"/>
        </w:trPr>
        <w:tc>
          <w:tcPr>
            <w:tcW w:w="1220" w:type="pct"/>
            <w:tcBorders>
              <w:top w:val="single" w:color="auto" w:sz="4" w:space="0"/>
              <w:left w:val="single" w:color="auto" w:sz="4" w:space="0"/>
              <w:bottom w:val="single" w:color="auto" w:sz="4" w:space="0"/>
              <w:right w:val="single" w:color="auto" w:sz="4" w:space="0"/>
            </w:tcBorders>
            <w:shd w:val="clear" w:color="auto" w:fill="auto"/>
            <w:vAlign w:val="top"/>
          </w:tcPr>
          <w:p w14:paraId="0869402E">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Public Health </w:t>
            </w:r>
            <w:r>
              <w:rPr>
                <w:rFonts w:hint="eastAsia" w:ascii="宋体" w:hAnsi="宋体" w:eastAsia="宋体" w:cs="宋体"/>
                <w:kern w:val="0"/>
                <w:sz w:val="16"/>
                <w:szCs w:val="16"/>
                <w:lang w:val="en-US" w:eastAsia="zh-CN" w:bidi="ar"/>
              </w:rPr>
              <w:t>公共卫生</w:t>
            </w:r>
          </w:p>
        </w:tc>
        <w:tc>
          <w:tcPr>
            <w:tcW w:w="3779" w:type="pct"/>
            <w:tcBorders>
              <w:top w:val="single" w:color="auto" w:sz="4" w:space="0"/>
              <w:left w:val="single" w:color="auto" w:sz="4" w:space="0"/>
              <w:bottom w:val="single" w:color="auto" w:sz="4" w:space="0"/>
              <w:right w:val="single" w:color="auto" w:sz="4" w:space="0"/>
            </w:tcBorders>
            <w:shd w:val="clear" w:color="auto" w:fill="auto"/>
            <w:vAlign w:val="top"/>
          </w:tcPr>
          <w:p w14:paraId="6786A815">
            <w:pPr>
              <w:keepNext w:val="0"/>
              <w:keepLines w:val="0"/>
              <w:widowControl/>
              <w:numPr>
                <w:ilvl w:val="0"/>
                <w:numId w:val="8"/>
              </w:numPr>
              <w:suppressLineNumbers w:val="0"/>
              <w:spacing w:before="0" w:beforeAutospacing="0" w:after="0" w:afterAutospacing="0"/>
              <w:ind w:left="0" w:leftChars="0" w:right="0" w:firstLine="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lang w:val="en-US" w:eastAsia="zh-CN" w:bidi="ar"/>
              </w:rPr>
              <w:t xml:space="preserve">Public Health and Epidemiology </w:t>
            </w:r>
            <w:r>
              <w:rPr>
                <w:rFonts w:hint="eastAsia" w:ascii="Times New Roman" w:hAnsi="Times New Roman" w:eastAsia="宋体" w:cs="Times New Roman"/>
                <w:kern w:val="0"/>
                <w:sz w:val="16"/>
                <w:szCs w:val="16"/>
                <w:lang w:val="en-US" w:eastAsia="zh-CN" w:bidi="ar"/>
              </w:rPr>
              <w:t>公共</w:t>
            </w:r>
            <w:r>
              <w:rPr>
                <w:rFonts w:hint="eastAsia" w:ascii="宋体" w:hAnsi="宋体" w:eastAsia="宋体" w:cs="宋体"/>
                <w:kern w:val="0"/>
                <w:sz w:val="16"/>
                <w:szCs w:val="16"/>
                <w:lang w:val="en-US" w:eastAsia="zh-CN" w:bidi="ar"/>
              </w:rPr>
              <w:t>卫生和流行病学</w:t>
            </w:r>
          </w:p>
          <w:p w14:paraId="2E074593">
            <w:pPr>
              <w:keepNext w:val="0"/>
              <w:keepLines w:val="0"/>
              <w:widowControl/>
              <w:numPr>
                <w:ilvl w:val="0"/>
                <w:numId w:val="21"/>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全球社区健康改善的因素</w:t>
            </w:r>
          </w:p>
          <w:p w14:paraId="688DD2C5">
            <w:pPr>
              <w:keepNext w:val="0"/>
              <w:keepLines w:val="0"/>
              <w:widowControl/>
              <w:numPr>
                <w:ilvl w:val="0"/>
                <w:numId w:val="21"/>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实地方法——需求评估、数据收集、管理、分析与可视化；报告编写与资源识别</w:t>
            </w:r>
          </w:p>
          <w:p w14:paraId="661F2671">
            <w:pPr>
              <w:keepNext w:val="0"/>
              <w:keepLines w:val="0"/>
              <w:widowControl/>
              <w:numPr>
                <w:ilvl w:val="0"/>
                <w:numId w:val="21"/>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在健康项目实施中对社区文化的理解</w:t>
            </w:r>
          </w:p>
          <w:p w14:paraId="1E512F1A">
            <w:pPr>
              <w:keepNext w:val="0"/>
              <w:keepLines w:val="0"/>
              <w:widowControl/>
              <w:numPr>
                <w:ilvl w:val="0"/>
                <w:numId w:val="21"/>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流行病学基础原理概述</w:t>
            </w:r>
          </w:p>
          <w:p w14:paraId="0782D20D">
            <w:pPr>
              <w:keepNext w:val="0"/>
              <w:keepLines w:val="0"/>
              <w:widowControl/>
              <w:numPr>
                <w:ilvl w:val="0"/>
                <w:numId w:val="21"/>
              </w:numPr>
              <w:suppressLineNumbers w:val="0"/>
              <w:spacing w:before="0" w:beforeAutospacing="0" w:after="0" w:afterAutospacing="0"/>
              <w:ind w:left="420" w:leftChars="0" w:right="0" w:hanging="420" w:firstLineChars="0"/>
              <w:jc w:val="left"/>
              <w:rPr>
                <w:rFonts w:hint="default" w:ascii="Times New Roman" w:hAnsi="Times New Roman" w:eastAsia="宋体" w:cs="Times New Roman"/>
                <w:kern w:val="0"/>
                <w:sz w:val="16"/>
                <w:szCs w:val="16"/>
              </w:rPr>
            </w:pPr>
            <w:r>
              <w:rPr>
                <w:rFonts w:hint="default" w:ascii="Times New Roman" w:hAnsi="Times New Roman" w:eastAsia="宋体" w:cs="Times New Roman"/>
                <w:kern w:val="0"/>
                <w:sz w:val="16"/>
                <w:szCs w:val="16"/>
              </w:rPr>
              <w:t>流行病学方法在基础与临床科学中的应用</w:t>
            </w:r>
          </w:p>
        </w:tc>
      </w:tr>
    </w:tbl>
    <w:p w14:paraId="0070C3A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default" w:ascii="宋体" w:hAnsi="宋体" w:eastAsia="宋体" w:cs="宋体"/>
          <w:b/>
          <w:bCs/>
          <w:color w:val="auto"/>
          <w:kern w:val="0"/>
          <w:sz w:val="21"/>
          <w:szCs w:val="21"/>
          <w:lang w:eastAsia="zh-CN" w:bidi="ar"/>
        </w:rPr>
      </w:pPr>
      <w:r>
        <w:rPr>
          <w:rFonts w:hint="eastAsia" w:ascii="宋体" w:hAnsi="宋体" w:eastAsia="宋体" w:cs="宋体"/>
          <w:color w:val="auto"/>
          <w:kern w:val="0"/>
          <w:sz w:val="21"/>
          <w:szCs w:val="21"/>
          <w:lang w:val="en-US" w:eastAsia="zh-CN" w:bidi="ar"/>
        </w:rPr>
        <w:t> </w:t>
      </w:r>
    </w:p>
    <w:p w14:paraId="22643022">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default" w:ascii="宋体" w:hAnsi="宋体" w:eastAsia="宋体" w:cs="宋体"/>
          <w:b/>
          <w:bCs/>
          <w:color w:val="auto"/>
          <w:kern w:val="0"/>
          <w:sz w:val="21"/>
          <w:szCs w:val="21"/>
          <w:lang w:eastAsia="zh-CN" w:bidi="ar"/>
        </w:rPr>
      </w:pPr>
    </w:p>
    <w:p w14:paraId="06F0942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default" w:ascii="宋体" w:hAnsi="宋体" w:eastAsia="宋体" w:cs="宋体"/>
          <w:b/>
          <w:bCs/>
          <w:color w:val="auto"/>
          <w:kern w:val="0"/>
          <w:sz w:val="21"/>
          <w:szCs w:val="21"/>
          <w:lang w:eastAsia="zh-CN" w:bidi="ar"/>
        </w:rPr>
      </w:pPr>
      <w:r>
        <w:rPr>
          <w:rFonts w:hint="default" w:ascii="宋体" w:hAnsi="宋体" w:eastAsia="宋体" w:cs="宋体"/>
          <w:b/>
          <w:bCs/>
          <w:color w:val="auto"/>
          <w:kern w:val="0"/>
          <w:sz w:val="21"/>
          <w:szCs w:val="21"/>
          <w:lang w:eastAsia="zh-CN" w:bidi="ar"/>
        </w:rPr>
        <w:t>【</w:t>
      </w:r>
      <w:r>
        <w:rPr>
          <w:rFonts w:hint="eastAsia" w:ascii="宋体" w:hAnsi="宋体" w:eastAsia="宋体" w:cs="宋体"/>
          <w:b/>
          <w:bCs/>
          <w:color w:val="auto"/>
          <w:kern w:val="0"/>
          <w:sz w:val="21"/>
          <w:szCs w:val="21"/>
          <w:lang w:val="en-US" w:eastAsia="zh-Hans" w:bidi="ar"/>
        </w:rPr>
        <w:t>参考课表</w:t>
      </w:r>
      <w:r>
        <w:rPr>
          <w:rFonts w:hint="default" w:ascii="宋体" w:hAnsi="宋体" w:eastAsia="宋体" w:cs="宋体"/>
          <w:b/>
          <w:bCs/>
          <w:color w:val="auto"/>
          <w:kern w:val="0"/>
          <w:sz w:val="21"/>
          <w:szCs w:val="21"/>
          <w:lang w:eastAsia="zh-CN" w:bidi="ar"/>
        </w:rPr>
        <w:t>】</w:t>
      </w:r>
    </w:p>
    <w:tbl>
      <w:tblPr>
        <w:tblStyle w:val="65"/>
        <w:tblW w:w="91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3"/>
        <w:gridCol w:w="1675"/>
        <w:gridCol w:w="1675"/>
        <w:gridCol w:w="1675"/>
        <w:gridCol w:w="1763"/>
        <w:gridCol w:w="1457"/>
      </w:tblGrid>
      <w:tr w14:paraId="2C452F16">
        <w:trPr>
          <w:trHeight w:val="280" w:hRule="atLeast"/>
        </w:trPr>
        <w:tc>
          <w:tcPr>
            <w:tcW w:w="903" w:type="dxa"/>
            <w:tcBorders>
              <w:top w:val="single" w:color="000000" w:sz="2" w:space="0"/>
              <w:bottom w:val="single" w:color="000000" w:sz="2" w:space="0"/>
            </w:tcBorders>
            <w:vAlign w:val="top"/>
          </w:tcPr>
          <w:p w14:paraId="59F8CCB3">
            <w:pPr>
              <w:rPr>
                <w:rFonts w:ascii="Arial"/>
                <w:sz w:val="21"/>
              </w:rPr>
            </w:pPr>
          </w:p>
        </w:tc>
        <w:tc>
          <w:tcPr>
            <w:tcW w:w="1675" w:type="dxa"/>
            <w:tcBorders>
              <w:top w:val="single" w:color="000000" w:sz="2" w:space="0"/>
              <w:bottom w:val="single" w:color="000000" w:sz="2" w:space="0"/>
            </w:tcBorders>
            <w:vAlign w:val="top"/>
          </w:tcPr>
          <w:p w14:paraId="1543E857">
            <w:pPr>
              <w:spacing w:before="53" w:line="226" w:lineRule="auto"/>
              <w:ind w:left="455"/>
              <w:rPr>
                <w:rFonts w:ascii="宋体" w:hAnsi="宋体" w:eastAsia="宋体" w:cs="宋体"/>
                <w:sz w:val="17"/>
                <w:szCs w:val="17"/>
              </w:rPr>
            </w:pPr>
            <w:r>
              <w:rPr>
                <w:rFonts w:ascii="Times New Roman" w:hAnsi="Times New Roman" w:eastAsia="Times New Roman" w:cs="Times New Roman"/>
                <w:b/>
                <w:bCs/>
                <w:sz w:val="17"/>
                <w:szCs w:val="17"/>
              </w:rPr>
              <w:t>M</w:t>
            </w:r>
            <w:r>
              <w:rPr>
                <w:rFonts w:ascii="Times New Roman" w:hAnsi="Times New Roman" w:eastAsia="Times New Roman" w:cs="Times New Roman"/>
                <w:spacing w:val="4"/>
                <w:sz w:val="17"/>
                <w:szCs w:val="17"/>
              </w:rPr>
              <w:t xml:space="preserve"> </w:t>
            </w:r>
            <w:r>
              <w:rPr>
                <w:rFonts w:ascii="宋体" w:hAnsi="宋体" w:eastAsia="宋体" w:cs="宋体"/>
                <w:spacing w:val="2"/>
                <w:sz w:val="17"/>
                <w:szCs w:val="17"/>
                <w14:textOutline w14:w="2222" w14:cap="flat" w14:cmpd="sng">
                  <w14:solidFill>
                    <w14:srgbClr w14:val="000000"/>
                  </w14:solidFill>
                  <w14:prstDash w14:val="solid"/>
                  <w14:miter w14:val="0"/>
                </w14:textOutline>
              </w:rPr>
              <w:t>星期一</w:t>
            </w:r>
          </w:p>
        </w:tc>
        <w:tc>
          <w:tcPr>
            <w:tcW w:w="1675" w:type="dxa"/>
            <w:tcBorders>
              <w:top w:val="single" w:color="000000" w:sz="2" w:space="0"/>
              <w:bottom w:val="single" w:color="000000" w:sz="2" w:space="0"/>
            </w:tcBorders>
            <w:vAlign w:val="top"/>
          </w:tcPr>
          <w:p w14:paraId="0601E83D">
            <w:pPr>
              <w:spacing w:before="53" w:line="226" w:lineRule="auto"/>
              <w:ind w:left="476"/>
              <w:rPr>
                <w:rFonts w:ascii="宋体" w:hAnsi="宋体" w:eastAsia="宋体" w:cs="宋体"/>
                <w:sz w:val="17"/>
                <w:szCs w:val="17"/>
              </w:rPr>
            </w:pPr>
            <w:r>
              <w:rPr>
                <w:rFonts w:ascii="Times New Roman" w:hAnsi="Times New Roman" w:eastAsia="Times New Roman" w:cs="Times New Roman"/>
                <w:b/>
                <w:bCs/>
                <w:sz w:val="17"/>
                <w:szCs w:val="17"/>
              </w:rPr>
              <w:t>T</w:t>
            </w:r>
            <w:r>
              <w:rPr>
                <w:rFonts w:ascii="Times New Roman" w:hAnsi="Times New Roman" w:eastAsia="Times New Roman" w:cs="Times New Roman"/>
                <w:spacing w:val="5"/>
                <w:sz w:val="17"/>
                <w:szCs w:val="17"/>
              </w:rPr>
              <w:t xml:space="preserve"> </w:t>
            </w:r>
            <w:r>
              <w:rPr>
                <w:rFonts w:ascii="宋体" w:hAnsi="宋体" w:eastAsia="宋体" w:cs="宋体"/>
                <w:spacing w:val="3"/>
                <w:sz w:val="17"/>
                <w:szCs w:val="17"/>
                <w14:textOutline w14:w="2222" w14:cap="flat" w14:cmpd="sng">
                  <w14:solidFill>
                    <w14:srgbClr w14:val="000000"/>
                  </w14:solidFill>
                  <w14:prstDash w14:val="solid"/>
                  <w14:miter w14:val="0"/>
                </w14:textOutline>
              </w:rPr>
              <w:t>星期二</w:t>
            </w:r>
          </w:p>
        </w:tc>
        <w:tc>
          <w:tcPr>
            <w:tcW w:w="1675" w:type="dxa"/>
            <w:tcBorders>
              <w:top w:val="single" w:color="000000" w:sz="2" w:space="0"/>
              <w:bottom w:val="single" w:color="000000" w:sz="2" w:space="0"/>
            </w:tcBorders>
            <w:vAlign w:val="top"/>
          </w:tcPr>
          <w:p w14:paraId="3135FB3C">
            <w:pPr>
              <w:spacing w:before="53" w:line="226" w:lineRule="auto"/>
              <w:ind w:left="450"/>
              <w:rPr>
                <w:rFonts w:ascii="宋体" w:hAnsi="宋体" w:eastAsia="宋体" w:cs="宋体"/>
                <w:sz w:val="17"/>
                <w:szCs w:val="17"/>
              </w:rPr>
            </w:pPr>
            <w:r>
              <w:rPr>
                <w:rFonts w:ascii="Times New Roman" w:hAnsi="Times New Roman" w:eastAsia="Times New Roman" w:cs="Times New Roman"/>
                <w:b/>
                <w:bCs/>
                <w:sz w:val="17"/>
                <w:szCs w:val="17"/>
              </w:rPr>
              <w:t>W</w:t>
            </w:r>
            <w:r>
              <w:rPr>
                <w:rFonts w:ascii="Times New Roman" w:hAnsi="Times New Roman" w:eastAsia="Times New Roman" w:cs="Times New Roman"/>
                <w:spacing w:val="5"/>
                <w:sz w:val="17"/>
                <w:szCs w:val="17"/>
              </w:rPr>
              <w:t xml:space="preserve"> </w:t>
            </w:r>
            <w:r>
              <w:rPr>
                <w:rFonts w:ascii="宋体" w:hAnsi="宋体" w:eastAsia="宋体" w:cs="宋体"/>
                <w:spacing w:val="3"/>
                <w:sz w:val="17"/>
                <w:szCs w:val="17"/>
                <w14:textOutline w14:w="2222" w14:cap="flat" w14:cmpd="sng">
                  <w14:solidFill>
                    <w14:srgbClr w14:val="000000"/>
                  </w14:solidFill>
                  <w14:prstDash w14:val="solid"/>
                  <w14:miter w14:val="0"/>
                </w14:textOutline>
              </w:rPr>
              <w:t>星期三</w:t>
            </w:r>
          </w:p>
        </w:tc>
        <w:tc>
          <w:tcPr>
            <w:tcW w:w="1763" w:type="dxa"/>
            <w:tcBorders>
              <w:top w:val="single" w:color="000000" w:sz="2" w:space="0"/>
              <w:bottom w:val="single" w:color="000000" w:sz="2" w:space="0"/>
            </w:tcBorders>
            <w:vAlign w:val="top"/>
          </w:tcPr>
          <w:p w14:paraId="0FD08601">
            <w:pPr>
              <w:spacing w:before="53" w:line="226" w:lineRule="auto"/>
              <w:ind w:left="416"/>
              <w:rPr>
                <w:rFonts w:ascii="宋体" w:hAnsi="宋体" w:eastAsia="宋体" w:cs="宋体"/>
                <w:sz w:val="17"/>
                <w:szCs w:val="17"/>
              </w:rPr>
            </w:pPr>
            <w:r>
              <w:rPr>
                <w:rFonts w:ascii="Times New Roman" w:hAnsi="Times New Roman" w:eastAsia="Times New Roman" w:cs="Times New Roman"/>
                <w:b/>
                <w:bCs/>
                <w:sz w:val="17"/>
                <w:szCs w:val="17"/>
              </w:rPr>
              <w:t>TH</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2222" w14:cap="flat" w14:cmpd="sng">
                  <w14:solidFill>
                    <w14:srgbClr w14:val="000000"/>
                  </w14:solidFill>
                  <w14:prstDash w14:val="solid"/>
                  <w14:miter w14:val="0"/>
                </w14:textOutline>
              </w:rPr>
              <w:t>星期四</w:t>
            </w:r>
          </w:p>
        </w:tc>
        <w:tc>
          <w:tcPr>
            <w:tcW w:w="1457" w:type="dxa"/>
            <w:tcBorders>
              <w:top w:val="single" w:color="000000" w:sz="2" w:space="0"/>
              <w:bottom w:val="single" w:color="000000" w:sz="2" w:space="0"/>
            </w:tcBorders>
            <w:vAlign w:val="top"/>
          </w:tcPr>
          <w:p w14:paraId="053C6453">
            <w:pPr>
              <w:spacing w:before="53" w:line="226" w:lineRule="auto"/>
              <w:ind w:left="443"/>
              <w:rPr>
                <w:rFonts w:ascii="宋体" w:hAnsi="宋体" w:eastAsia="宋体" w:cs="宋体"/>
                <w:sz w:val="17"/>
                <w:szCs w:val="17"/>
              </w:rPr>
            </w:pPr>
            <w:r>
              <w:rPr>
                <w:rFonts w:ascii="Times New Roman" w:hAnsi="Times New Roman" w:eastAsia="Times New Roman" w:cs="Times New Roman"/>
                <w:b/>
                <w:bCs/>
                <w:sz w:val="17"/>
                <w:szCs w:val="17"/>
              </w:rPr>
              <w:t>F</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14:textOutline w14:w="2222" w14:cap="flat" w14:cmpd="sng">
                  <w14:solidFill>
                    <w14:srgbClr w14:val="000000"/>
                  </w14:solidFill>
                  <w14:prstDash w14:val="solid"/>
                  <w14:miter w14:val="0"/>
                </w14:textOutline>
              </w:rPr>
              <w:t>星期</w:t>
            </w:r>
            <w:r>
              <w:rPr>
                <w:rFonts w:ascii="宋体" w:hAnsi="宋体" w:eastAsia="宋体" w:cs="宋体"/>
                <w:spacing w:val="2"/>
                <w:sz w:val="17"/>
                <w:szCs w:val="17"/>
                <w14:textOutline w14:w="2222" w14:cap="flat" w14:cmpd="sng">
                  <w14:solidFill>
                    <w14:srgbClr w14:val="000000"/>
                  </w14:solidFill>
                  <w14:prstDash w14:val="solid"/>
                  <w14:miter w14:val="0"/>
                </w14:textOutline>
              </w:rPr>
              <w:t>五</w:t>
            </w:r>
          </w:p>
        </w:tc>
      </w:tr>
      <w:tr w14:paraId="4FBB2B65">
        <w:trPr>
          <w:trHeight w:val="486" w:hRule="atLeast"/>
        </w:trPr>
        <w:tc>
          <w:tcPr>
            <w:tcW w:w="903" w:type="dxa"/>
            <w:tcBorders>
              <w:top w:val="single" w:color="000000" w:sz="2" w:space="0"/>
              <w:bottom w:val="single" w:color="000000" w:sz="2" w:space="0"/>
            </w:tcBorders>
            <w:vAlign w:val="top"/>
          </w:tcPr>
          <w:p w14:paraId="2594E932">
            <w:pPr>
              <w:spacing w:before="49" w:line="190" w:lineRule="auto"/>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9</w:t>
            </w: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00-10:30</w:t>
            </w:r>
          </w:p>
        </w:tc>
        <w:tc>
          <w:tcPr>
            <w:tcW w:w="1675" w:type="dxa"/>
            <w:tcBorders>
              <w:top w:val="single" w:color="000000" w:sz="2" w:space="0"/>
              <w:bottom w:val="single" w:color="000000" w:sz="2" w:space="0"/>
            </w:tcBorders>
            <w:vAlign w:val="top"/>
          </w:tcPr>
          <w:p w14:paraId="2321D725">
            <w:pPr>
              <w:spacing w:before="14" w:line="226" w:lineRule="auto"/>
              <w:ind w:left="300"/>
              <w:rPr>
                <w:rFonts w:ascii="宋体" w:hAnsi="宋体" w:eastAsia="宋体" w:cs="宋体"/>
                <w:sz w:val="17"/>
                <w:szCs w:val="17"/>
              </w:rPr>
            </w:pPr>
            <w:r>
              <w:rPr>
                <w:rFonts w:hint="default" w:ascii="宋体" w:hAnsi="宋体" w:eastAsia="宋体" w:cs="宋体"/>
                <w:spacing w:val="4"/>
                <w:sz w:val="17"/>
                <w:szCs w:val="17"/>
              </w:rPr>
              <w:t>学术课程1</w:t>
            </w:r>
          </w:p>
        </w:tc>
        <w:tc>
          <w:tcPr>
            <w:tcW w:w="1675" w:type="dxa"/>
            <w:tcBorders>
              <w:top w:val="single" w:color="000000" w:sz="2" w:space="0"/>
              <w:bottom w:val="single" w:color="000000" w:sz="2" w:space="0"/>
            </w:tcBorders>
            <w:vAlign w:val="top"/>
          </w:tcPr>
          <w:p w14:paraId="77F7755A">
            <w:pPr>
              <w:spacing w:before="14" w:line="226" w:lineRule="auto"/>
              <w:ind w:left="302"/>
              <w:rPr>
                <w:rFonts w:ascii="宋体" w:hAnsi="宋体" w:eastAsia="宋体" w:cs="宋体"/>
                <w:sz w:val="17"/>
                <w:szCs w:val="17"/>
              </w:rPr>
            </w:pPr>
            <w:r>
              <w:rPr>
                <w:rFonts w:hint="default" w:ascii="宋体" w:hAnsi="宋体" w:eastAsia="宋体" w:cs="宋体"/>
                <w:spacing w:val="4"/>
                <w:sz w:val="17"/>
                <w:szCs w:val="17"/>
              </w:rPr>
              <w:t>学术课程1</w:t>
            </w:r>
          </w:p>
        </w:tc>
        <w:tc>
          <w:tcPr>
            <w:tcW w:w="1675" w:type="dxa"/>
            <w:tcBorders>
              <w:top w:val="single" w:color="000000" w:sz="2" w:space="0"/>
              <w:bottom w:val="single" w:color="000000" w:sz="2" w:space="0"/>
            </w:tcBorders>
            <w:vAlign w:val="top"/>
          </w:tcPr>
          <w:p w14:paraId="492A014C">
            <w:pPr>
              <w:spacing w:before="14" w:line="226" w:lineRule="auto"/>
              <w:ind w:left="304"/>
              <w:rPr>
                <w:rFonts w:ascii="宋体" w:hAnsi="宋体" w:eastAsia="宋体" w:cs="宋体"/>
                <w:sz w:val="17"/>
                <w:szCs w:val="17"/>
              </w:rPr>
            </w:pPr>
            <w:r>
              <w:rPr>
                <w:rFonts w:hint="default" w:ascii="宋体" w:hAnsi="宋体" w:eastAsia="宋体" w:cs="宋体"/>
                <w:spacing w:val="4"/>
                <w:sz w:val="17"/>
                <w:szCs w:val="17"/>
              </w:rPr>
              <w:t>学术课程1</w:t>
            </w:r>
          </w:p>
        </w:tc>
        <w:tc>
          <w:tcPr>
            <w:tcW w:w="1763" w:type="dxa"/>
            <w:tcBorders>
              <w:top w:val="single" w:color="000000" w:sz="2" w:space="0"/>
              <w:bottom w:val="single" w:color="000000" w:sz="2" w:space="0"/>
            </w:tcBorders>
            <w:vAlign w:val="top"/>
          </w:tcPr>
          <w:p w14:paraId="2CF884B7">
            <w:pPr>
              <w:spacing w:before="14" w:line="226" w:lineRule="auto"/>
              <w:ind w:left="308"/>
              <w:rPr>
                <w:rFonts w:ascii="宋体" w:hAnsi="宋体" w:eastAsia="宋体" w:cs="宋体"/>
                <w:sz w:val="17"/>
                <w:szCs w:val="17"/>
              </w:rPr>
            </w:pPr>
            <w:r>
              <w:rPr>
                <w:rFonts w:hint="default" w:ascii="宋体" w:hAnsi="宋体" w:eastAsia="宋体" w:cs="宋体"/>
                <w:spacing w:val="4"/>
                <w:sz w:val="17"/>
                <w:szCs w:val="17"/>
              </w:rPr>
              <w:t>学术课程1</w:t>
            </w:r>
          </w:p>
        </w:tc>
        <w:tc>
          <w:tcPr>
            <w:tcW w:w="1457" w:type="dxa"/>
            <w:tcBorders>
              <w:top w:val="single" w:color="000000" w:sz="2" w:space="0"/>
              <w:bottom w:val="single" w:color="000000" w:sz="2" w:space="0"/>
            </w:tcBorders>
            <w:vAlign w:val="top"/>
          </w:tcPr>
          <w:p w14:paraId="1EF521DA">
            <w:pPr>
              <w:spacing w:before="12" w:line="226" w:lineRule="auto"/>
              <w:ind w:left="261"/>
              <w:rPr>
                <w:rFonts w:ascii="宋体" w:hAnsi="宋体" w:eastAsia="宋体" w:cs="宋体"/>
                <w:sz w:val="17"/>
                <w:szCs w:val="17"/>
              </w:rPr>
            </w:pPr>
            <w:r>
              <w:rPr>
                <w:rFonts w:hint="default" w:ascii="宋体" w:hAnsi="宋体" w:eastAsia="宋体" w:cs="宋体"/>
                <w:spacing w:val="4"/>
                <w:sz w:val="17"/>
                <w:szCs w:val="17"/>
              </w:rPr>
              <w:t>学术课程1</w:t>
            </w:r>
          </w:p>
        </w:tc>
      </w:tr>
      <w:tr w14:paraId="3AC7EAA9">
        <w:trPr>
          <w:trHeight w:val="435" w:hRule="atLeast"/>
        </w:trPr>
        <w:tc>
          <w:tcPr>
            <w:tcW w:w="903" w:type="dxa"/>
            <w:tcBorders>
              <w:top w:val="single" w:color="000000" w:sz="2" w:space="0"/>
              <w:bottom w:val="single" w:color="000000" w:sz="2" w:space="0"/>
            </w:tcBorders>
            <w:vAlign w:val="top"/>
          </w:tcPr>
          <w:p w14:paraId="5CB7EBF9">
            <w:pPr>
              <w:spacing w:before="49" w:line="200" w:lineRule="exact"/>
              <w:rPr>
                <w:rFonts w:hint="default" w:ascii="Times New Roman" w:hAnsi="Times New Roman" w:eastAsia="宋体" w:cs="Times New Roman"/>
                <w:sz w:val="17"/>
                <w:szCs w:val="17"/>
                <w:lang w:val="en-US" w:eastAsia="zh-CN"/>
              </w:rPr>
            </w:pPr>
            <w:r>
              <w:rPr>
                <w:rFonts w:hint="default" w:ascii="Times New Roman" w:hAnsi="Times New Roman" w:eastAsia="Times New Roman" w:cs="Times New Roman"/>
                <w:spacing w:val="-2"/>
                <w:sz w:val="17"/>
                <w:szCs w:val="17"/>
              </w:rPr>
              <w:t>10:</w:t>
            </w:r>
            <w:r>
              <w:rPr>
                <w:rFonts w:hint="eastAsia" w:ascii="Times New Roman" w:hAnsi="Times New Roman" w:eastAsia="宋体" w:cs="Times New Roman"/>
                <w:spacing w:val="-2"/>
                <w:sz w:val="17"/>
                <w:szCs w:val="17"/>
                <w:lang w:val="en-US" w:eastAsia="zh-CN"/>
              </w:rPr>
              <w:t>45</w:t>
            </w:r>
            <w:r>
              <w:rPr>
                <w:rFonts w:hint="default" w:ascii="Times New Roman" w:hAnsi="Times New Roman" w:eastAsia="Times New Roman" w:cs="Times New Roman"/>
                <w:spacing w:val="-2"/>
                <w:sz w:val="17"/>
                <w:szCs w:val="17"/>
              </w:rPr>
              <w:t>-</w:t>
            </w:r>
            <w:r>
              <w:rPr>
                <w:rFonts w:ascii="Times New Roman" w:hAnsi="Times New Roman" w:eastAsia="Times New Roman" w:cs="Times New Roman"/>
                <w:spacing w:val="-2"/>
                <w:sz w:val="17"/>
                <w:szCs w:val="17"/>
              </w:rPr>
              <w:t>12</w:t>
            </w:r>
            <w:r>
              <w:rPr>
                <w:rFonts w:ascii="Times New Roman" w:hAnsi="Times New Roman" w:eastAsia="Times New Roman" w:cs="Times New Roman"/>
                <w:spacing w:val="-1"/>
                <w:sz w:val="17"/>
                <w:szCs w:val="17"/>
              </w:rPr>
              <w:t>:</w:t>
            </w:r>
            <w:r>
              <w:rPr>
                <w:rFonts w:hint="eastAsia" w:ascii="Times New Roman" w:hAnsi="Times New Roman" w:eastAsia="宋体" w:cs="Times New Roman"/>
                <w:spacing w:val="-1"/>
                <w:sz w:val="17"/>
                <w:szCs w:val="17"/>
                <w:lang w:val="en-US" w:eastAsia="zh-CN"/>
              </w:rPr>
              <w:t>45</w:t>
            </w:r>
          </w:p>
        </w:tc>
        <w:tc>
          <w:tcPr>
            <w:tcW w:w="1675" w:type="dxa"/>
            <w:tcBorders>
              <w:top w:val="single" w:color="000000" w:sz="2" w:space="0"/>
              <w:bottom w:val="single" w:color="000000" w:sz="2" w:space="0"/>
            </w:tcBorders>
            <w:vAlign w:val="top"/>
          </w:tcPr>
          <w:p w14:paraId="60C640DF">
            <w:pPr>
              <w:spacing w:before="29" w:line="221" w:lineRule="auto"/>
              <w:ind w:firstLine="340" w:firstLineChars="200"/>
              <w:rPr>
                <w:rFonts w:hint="default" w:ascii="宋体" w:hAnsi="宋体" w:eastAsia="宋体" w:cs="宋体"/>
                <w:sz w:val="17"/>
                <w:szCs w:val="17"/>
              </w:rPr>
            </w:pPr>
            <w:r>
              <w:rPr>
                <w:rFonts w:hint="default" w:ascii="宋体" w:hAnsi="宋体" w:eastAsia="宋体" w:cs="宋体"/>
                <w:sz w:val="17"/>
                <w:szCs w:val="17"/>
              </w:rPr>
              <w:t>学术课程2</w:t>
            </w:r>
          </w:p>
        </w:tc>
        <w:tc>
          <w:tcPr>
            <w:tcW w:w="1675" w:type="dxa"/>
            <w:tcBorders>
              <w:top w:val="single" w:color="000000" w:sz="2" w:space="0"/>
              <w:bottom w:val="single" w:color="000000" w:sz="2" w:space="0"/>
            </w:tcBorders>
            <w:vAlign w:val="top"/>
          </w:tcPr>
          <w:p w14:paraId="4420E474">
            <w:pPr>
              <w:spacing w:before="29" w:line="221" w:lineRule="auto"/>
              <w:ind w:firstLine="340" w:firstLineChars="200"/>
              <w:rPr>
                <w:rFonts w:ascii="宋体" w:hAnsi="宋体" w:eastAsia="宋体" w:cs="宋体"/>
                <w:sz w:val="17"/>
                <w:szCs w:val="17"/>
              </w:rPr>
            </w:pPr>
            <w:r>
              <w:rPr>
                <w:rFonts w:hint="default" w:ascii="宋体" w:hAnsi="宋体" w:eastAsia="宋体" w:cs="宋体"/>
                <w:sz w:val="17"/>
                <w:szCs w:val="17"/>
              </w:rPr>
              <w:t>学术课程2</w:t>
            </w:r>
          </w:p>
        </w:tc>
        <w:tc>
          <w:tcPr>
            <w:tcW w:w="1675" w:type="dxa"/>
            <w:tcBorders>
              <w:top w:val="single" w:color="000000" w:sz="2" w:space="0"/>
              <w:bottom w:val="single" w:color="000000" w:sz="2" w:space="0"/>
            </w:tcBorders>
            <w:vAlign w:val="top"/>
          </w:tcPr>
          <w:p w14:paraId="4FEBAA67">
            <w:pPr>
              <w:spacing w:before="29" w:line="221" w:lineRule="auto"/>
              <w:ind w:firstLine="340" w:firstLineChars="200"/>
              <w:rPr>
                <w:rFonts w:ascii="宋体" w:hAnsi="宋体" w:eastAsia="宋体" w:cs="宋体"/>
                <w:sz w:val="17"/>
                <w:szCs w:val="17"/>
              </w:rPr>
            </w:pPr>
            <w:r>
              <w:rPr>
                <w:rFonts w:hint="default" w:ascii="宋体" w:hAnsi="宋体" w:eastAsia="宋体" w:cs="宋体"/>
                <w:sz w:val="17"/>
                <w:szCs w:val="17"/>
              </w:rPr>
              <w:t>学术课程2</w:t>
            </w:r>
          </w:p>
        </w:tc>
        <w:tc>
          <w:tcPr>
            <w:tcW w:w="1763" w:type="dxa"/>
            <w:tcBorders>
              <w:top w:val="single" w:color="000000" w:sz="2" w:space="0"/>
              <w:bottom w:val="single" w:color="000000" w:sz="2" w:space="0"/>
            </w:tcBorders>
            <w:vAlign w:val="top"/>
          </w:tcPr>
          <w:p w14:paraId="5244D155">
            <w:pPr>
              <w:spacing w:before="29" w:line="221" w:lineRule="auto"/>
              <w:ind w:left="392"/>
              <w:rPr>
                <w:rFonts w:ascii="宋体" w:hAnsi="宋体" w:eastAsia="宋体" w:cs="宋体"/>
                <w:sz w:val="17"/>
                <w:szCs w:val="17"/>
              </w:rPr>
            </w:pPr>
            <w:r>
              <w:rPr>
                <w:rFonts w:hint="default" w:ascii="宋体" w:hAnsi="宋体" w:eastAsia="宋体" w:cs="宋体"/>
                <w:sz w:val="17"/>
                <w:szCs w:val="17"/>
              </w:rPr>
              <w:t>学术课程2</w:t>
            </w:r>
          </w:p>
        </w:tc>
        <w:tc>
          <w:tcPr>
            <w:tcW w:w="1457" w:type="dxa"/>
            <w:tcBorders>
              <w:top w:val="single" w:color="000000" w:sz="2" w:space="0"/>
              <w:bottom w:val="single" w:color="000000" w:sz="2" w:space="0"/>
            </w:tcBorders>
            <w:vAlign w:val="top"/>
          </w:tcPr>
          <w:p w14:paraId="51111F77">
            <w:pPr>
              <w:spacing w:before="13" w:line="221" w:lineRule="auto"/>
              <w:ind w:left="344"/>
              <w:rPr>
                <w:rFonts w:ascii="宋体" w:hAnsi="宋体" w:eastAsia="宋体" w:cs="宋体"/>
                <w:sz w:val="17"/>
                <w:szCs w:val="17"/>
              </w:rPr>
            </w:pPr>
            <w:r>
              <w:rPr>
                <w:rFonts w:hint="default" w:ascii="宋体" w:hAnsi="宋体" w:eastAsia="宋体" w:cs="宋体"/>
                <w:sz w:val="17"/>
                <w:szCs w:val="17"/>
              </w:rPr>
              <w:t>学术课程2</w:t>
            </w:r>
          </w:p>
        </w:tc>
      </w:tr>
      <w:tr w14:paraId="48ACD447">
        <w:trPr>
          <w:trHeight w:val="464" w:hRule="atLeast"/>
        </w:trPr>
        <w:tc>
          <w:tcPr>
            <w:tcW w:w="903" w:type="dxa"/>
            <w:tcBorders>
              <w:top w:val="single" w:color="000000" w:sz="2" w:space="0"/>
              <w:bottom w:val="single" w:color="000000" w:sz="2" w:space="0"/>
            </w:tcBorders>
            <w:vAlign w:val="top"/>
          </w:tcPr>
          <w:p w14:paraId="7563B13E">
            <w:pPr>
              <w:spacing w:before="20" w:line="218" w:lineRule="auto"/>
              <w:ind w:right="20"/>
              <w:jc w:val="both"/>
              <w:rPr>
                <w:rFonts w:ascii="Times New Roman" w:hAnsi="Times New Roman" w:eastAsia="Times New Roman" w:cs="Times New Roman"/>
                <w:spacing w:val="-2"/>
                <w:sz w:val="17"/>
                <w:szCs w:val="17"/>
              </w:rPr>
            </w:pPr>
            <w:r>
              <w:rPr>
                <w:rFonts w:ascii="Times New Roman" w:hAnsi="Times New Roman" w:eastAsia="Times New Roman" w:cs="Times New Roman"/>
                <w:spacing w:val="-1"/>
                <w:sz w:val="17"/>
                <w:szCs w:val="17"/>
              </w:rPr>
              <w:t>12:00</w:t>
            </w:r>
            <w:r>
              <w:rPr>
                <w:rFonts w:ascii="Times New Roman" w:hAnsi="Times New Roman" w:eastAsia="Times New Roman" w:cs="Times New Roman"/>
                <w:sz w:val="17"/>
                <w:szCs w:val="17"/>
              </w:rPr>
              <w:t xml:space="preserve">- </w:t>
            </w:r>
            <w:r>
              <w:rPr>
                <w:rFonts w:hint="default" w:ascii="Times New Roman" w:hAnsi="Times New Roman" w:eastAsia="Times New Roman" w:cs="Times New Roman"/>
                <w:sz w:val="17"/>
                <w:szCs w:val="17"/>
              </w:rPr>
              <w:t>2</w:t>
            </w:r>
            <w:r>
              <w:rPr>
                <w:rFonts w:ascii="Times New Roman" w:hAnsi="Times New Roman" w:eastAsia="Times New Roman" w:cs="Times New Roman"/>
                <w:spacing w:val="-2"/>
                <w:sz w:val="17"/>
                <w:szCs w:val="17"/>
              </w:rPr>
              <w:t>:</w:t>
            </w:r>
            <w:r>
              <w:rPr>
                <w:rFonts w:hint="default" w:ascii="Times New Roman" w:hAnsi="Times New Roman" w:eastAsia="Times New Roman" w:cs="Times New Roman"/>
                <w:spacing w:val="-2"/>
                <w:sz w:val="17"/>
                <w:szCs w:val="17"/>
              </w:rPr>
              <w:t>0</w:t>
            </w:r>
            <w:r>
              <w:rPr>
                <w:rFonts w:ascii="Times New Roman" w:hAnsi="Times New Roman" w:eastAsia="Times New Roman" w:cs="Times New Roman"/>
                <w:spacing w:val="-2"/>
                <w:sz w:val="17"/>
                <w:szCs w:val="17"/>
              </w:rPr>
              <w:t>0</w:t>
            </w:r>
          </w:p>
        </w:tc>
        <w:tc>
          <w:tcPr>
            <w:tcW w:w="1675" w:type="dxa"/>
            <w:tcBorders>
              <w:top w:val="single" w:color="000000" w:sz="2" w:space="0"/>
              <w:bottom w:val="single" w:color="000000" w:sz="2" w:space="0"/>
            </w:tcBorders>
            <w:vAlign w:val="top"/>
          </w:tcPr>
          <w:p w14:paraId="33A989BE">
            <w:pPr>
              <w:spacing w:before="20" w:line="229" w:lineRule="auto"/>
              <w:ind w:right="20"/>
              <w:jc w:val="center"/>
              <w:rPr>
                <w:rFonts w:ascii="宋体" w:hAnsi="宋体" w:eastAsia="宋体" w:cs="宋体"/>
                <w:spacing w:val="6"/>
                <w:sz w:val="17"/>
                <w:szCs w:val="17"/>
              </w:rPr>
            </w:pPr>
            <w:r>
              <w:rPr>
                <w:rFonts w:ascii="宋体" w:hAnsi="宋体" w:eastAsia="宋体" w:cs="宋体"/>
                <w:sz w:val="17"/>
                <w:szCs w:val="17"/>
              </w:rPr>
              <w:t>午餐</w:t>
            </w:r>
          </w:p>
        </w:tc>
        <w:tc>
          <w:tcPr>
            <w:tcW w:w="1675" w:type="dxa"/>
            <w:tcBorders>
              <w:top w:val="single" w:color="000000" w:sz="2" w:space="0"/>
              <w:bottom w:val="single" w:color="000000" w:sz="2" w:space="0"/>
            </w:tcBorders>
            <w:vAlign w:val="top"/>
          </w:tcPr>
          <w:p w14:paraId="6404D1C0">
            <w:pPr>
              <w:spacing w:before="20" w:line="229" w:lineRule="auto"/>
              <w:ind w:right="20" w:firstLine="510" w:firstLineChars="300"/>
              <w:jc w:val="both"/>
              <w:rPr>
                <w:rFonts w:ascii="宋体" w:hAnsi="宋体" w:eastAsia="宋体" w:cs="宋体"/>
                <w:spacing w:val="6"/>
                <w:sz w:val="17"/>
                <w:szCs w:val="17"/>
              </w:rPr>
            </w:pPr>
            <w:r>
              <w:rPr>
                <w:rFonts w:ascii="宋体" w:hAnsi="宋体" w:eastAsia="宋体" w:cs="宋体"/>
                <w:sz w:val="17"/>
                <w:szCs w:val="17"/>
              </w:rPr>
              <w:t>午餐</w:t>
            </w:r>
          </w:p>
        </w:tc>
        <w:tc>
          <w:tcPr>
            <w:tcW w:w="1675" w:type="dxa"/>
            <w:tcBorders>
              <w:top w:val="single" w:color="000000" w:sz="2" w:space="0"/>
              <w:bottom w:val="single" w:color="000000" w:sz="2" w:space="0"/>
            </w:tcBorders>
            <w:vAlign w:val="top"/>
          </w:tcPr>
          <w:p w14:paraId="3A083E21">
            <w:pPr>
              <w:spacing w:before="20" w:line="229" w:lineRule="auto"/>
              <w:ind w:right="20" w:firstLine="510" w:firstLineChars="300"/>
              <w:jc w:val="both"/>
              <w:rPr>
                <w:rFonts w:ascii="宋体" w:hAnsi="宋体" w:eastAsia="宋体" w:cs="宋体"/>
                <w:spacing w:val="6"/>
                <w:sz w:val="17"/>
                <w:szCs w:val="17"/>
              </w:rPr>
            </w:pPr>
            <w:r>
              <w:rPr>
                <w:rFonts w:ascii="宋体" w:hAnsi="宋体" w:eastAsia="宋体" w:cs="宋体"/>
                <w:sz w:val="17"/>
                <w:szCs w:val="17"/>
              </w:rPr>
              <w:t>午餐</w:t>
            </w:r>
          </w:p>
        </w:tc>
        <w:tc>
          <w:tcPr>
            <w:tcW w:w="1763" w:type="dxa"/>
            <w:tcBorders>
              <w:top w:val="single" w:color="000000" w:sz="2" w:space="0"/>
              <w:bottom w:val="single" w:color="000000" w:sz="2" w:space="0"/>
            </w:tcBorders>
            <w:vAlign w:val="top"/>
          </w:tcPr>
          <w:p w14:paraId="74F3B776">
            <w:pPr>
              <w:spacing w:before="20" w:line="229" w:lineRule="auto"/>
              <w:ind w:right="20" w:firstLine="510" w:firstLineChars="300"/>
              <w:jc w:val="both"/>
              <w:rPr>
                <w:rFonts w:ascii="宋体" w:hAnsi="宋体" w:eastAsia="宋体" w:cs="宋体"/>
                <w:spacing w:val="6"/>
                <w:sz w:val="17"/>
                <w:szCs w:val="17"/>
              </w:rPr>
            </w:pPr>
            <w:r>
              <w:rPr>
                <w:rFonts w:ascii="宋体" w:hAnsi="宋体" w:eastAsia="宋体" w:cs="宋体"/>
                <w:sz w:val="17"/>
                <w:szCs w:val="17"/>
              </w:rPr>
              <w:t>午餐</w:t>
            </w:r>
          </w:p>
        </w:tc>
        <w:tc>
          <w:tcPr>
            <w:tcW w:w="1457" w:type="dxa"/>
            <w:tcBorders>
              <w:top w:val="single" w:color="000000" w:sz="2" w:space="0"/>
              <w:bottom w:val="single" w:color="000000" w:sz="2" w:space="0"/>
            </w:tcBorders>
            <w:vAlign w:val="top"/>
          </w:tcPr>
          <w:p w14:paraId="08460302">
            <w:pPr>
              <w:spacing w:before="20" w:line="229" w:lineRule="auto"/>
              <w:ind w:right="20" w:firstLine="510" w:firstLineChars="300"/>
              <w:jc w:val="both"/>
              <w:rPr>
                <w:rFonts w:ascii="宋体" w:hAnsi="宋体" w:eastAsia="宋体" w:cs="宋体"/>
                <w:spacing w:val="6"/>
                <w:sz w:val="17"/>
                <w:szCs w:val="17"/>
              </w:rPr>
            </w:pPr>
            <w:r>
              <w:rPr>
                <w:rFonts w:ascii="宋体" w:hAnsi="宋体" w:eastAsia="宋体" w:cs="宋体"/>
                <w:sz w:val="17"/>
                <w:szCs w:val="17"/>
              </w:rPr>
              <w:t>午餐</w:t>
            </w:r>
          </w:p>
        </w:tc>
      </w:tr>
      <w:tr w14:paraId="4F11A7C3">
        <w:trPr>
          <w:trHeight w:val="460" w:hRule="atLeast"/>
        </w:trPr>
        <w:tc>
          <w:tcPr>
            <w:tcW w:w="903" w:type="dxa"/>
            <w:tcBorders>
              <w:top w:val="single" w:color="000000" w:sz="2" w:space="0"/>
              <w:bottom w:val="single" w:color="auto" w:sz="4" w:space="0"/>
            </w:tcBorders>
            <w:vAlign w:val="top"/>
          </w:tcPr>
          <w:p w14:paraId="209BFDC1">
            <w:pPr>
              <w:spacing w:line="190" w:lineRule="auto"/>
              <w:jc w:val="both"/>
              <w:rPr>
                <w:rFonts w:hint="default" w:ascii="Times New Roman" w:hAnsi="Times New Roman" w:eastAsia="Times New Roman" w:cs="Times New Roman"/>
                <w:spacing w:val="-2"/>
                <w:sz w:val="17"/>
                <w:szCs w:val="17"/>
              </w:rPr>
            </w:pPr>
            <w:r>
              <w:rPr>
                <w:rFonts w:hint="default" w:ascii="Times New Roman" w:hAnsi="Times New Roman" w:eastAsia="Times New Roman" w:cs="Times New Roman"/>
                <w:spacing w:val="-2"/>
                <w:sz w:val="17"/>
                <w:szCs w:val="17"/>
              </w:rPr>
              <w:t xml:space="preserve">2:00 - </w:t>
            </w:r>
            <w:r>
              <w:rPr>
                <w:rFonts w:hint="eastAsia" w:ascii="Times New Roman" w:hAnsi="Times New Roman" w:eastAsia="宋体" w:cs="Times New Roman"/>
                <w:spacing w:val="-2"/>
                <w:sz w:val="17"/>
                <w:szCs w:val="17"/>
                <w:lang w:val="en-US" w:eastAsia="zh-CN"/>
              </w:rPr>
              <w:t>4</w:t>
            </w:r>
            <w:r>
              <w:rPr>
                <w:rFonts w:hint="default" w:ascii="Times New Roman" w:hAnsi="Times New Roman" w:eastAsia="Times New Roman" w:cs="Times New Roman"/>
                <w:spacing w:val="-2"/>
                <w:sz w:val="17"/>
                <w:szCs w:val="17"/>
              </w:rPr>
              <w:t>:</w:t>
            </w:r>
            <w:r>
              <w:rPr>
                <w:rFonts w:hint="eastAsia" w:ascii="Times New Roman" w:hAnsi="Times New Roman" w:eastAsia="宋体" w:cs="Times New Roman"/>
                <w:spacing w:val="-2"/>
                <w:sz w:val="17"/>
                <w:szCs w:val="17"/>
                <w:lang w:val="en-US" w:eastAsia="zh-CN"/>
              </w:rPr>
              <w:t>3</w:t>
            </w:r>
            <w:r>
              <w:rPr>
                <w:rFonts w:hint="default" w:ascii="Times New Roman" w:hAnsi="Times New Roman" w:eastAsia="Times New Roman" w:cs="Times New Roman"/>
                <w:spacing w:val="-2"/>
                <w:sz w:val="17"/>
                <w:szCs w:val="17"/>
              </w:rPr>
              <w:t>0</w:t>
            </w:r>
          </w:p>
        </w:tc>
        <w:tc>
          <w:tcPr>
            <w:tcW w:w="1675" w:type="dxa"/>
            <w:tcBorders>
              <w:top w:val="single" w:color="000000" w:sz="2" w:space="0"/>
              <w:bottom w:val="single" w:color="auto" w:sz="4" w:space="0"/>
            </w:tcBorders>
            <w:vAlign w:val="top"/>
          </w:tcPr>
          <w:p w14:paraId="2D98D085">
            <w:pPr>
              <w:spacing w:before="29" w:line="221" w:lineRule="auto"/>
              <w:jc w:val="center"/>
              <w:rPr>
                <w:rFonts w:hint="default" w:ascii="Times New Roman" w:hAnsi="Times New Roman" w:eastAsia="Times New Roman" w:cs="Times New Roman"/>
                <w:sz w:val="17"/>
                <w:szCs w:val="17"/>
                <w:lang w:eastAsia="zh-Hans"/>
              </w:rPr>
            </w:pPr>
            <w:r>
              <w:rPr>
                <w:rFonts w:hint="default" w:ascii="Times New Roman" w:hAnsi="Times New Roman" w:eastAsia="Times New Roman" w:cs="Times New Roman"/>
                <w:position w:val="1"/>
                <w:sz w:val="16"/>
                <w:szCs w:val="16"/>
              </w:rPr>
              <w:t>口语</w:t>
            </w:r>
            <w:r>
              <w:rPr>
                <w:rFonts w:hint="default" w:ascii="Times New Roman" w:hAnsi="Times New Roman" w:eastAsia="Times New Roman" w:cs="Times New Roman"/>
                <w:position w:val="1"/>
                <w:sz w:val="16"/>
                <w:szCs w:val="16"/>
                <w:woUserID w:val="1"/>
              </w:rPr>
              <w:t>沟通</w:t>
            </w:r>
            <w:r>
              <w:rPr>
                <w:rFonts w:hint="eastAsia" w:ascii="Times New Roman" w:hAnsi="Times New Roman" w:eastAsia="宋体" w:cs="Times New Roman"/>
                <w:position w:val="1"/>
                <w:sz w:val="16"/>
                <w:szCs w:val="16"/>
                <w:lang w:val="en-US" w:eastAsia="zh-CN"/>
                <w:woUserID w:val="1"/>
              </w:rPr>
              <w:t>/学术写作</w:t>
            </w:r>
            <w:r>
              <w:rPr>
                <w:rFonts w:hint="default" w:ascii="Times New Roman" w:hAnsi="Times New Roman" w:eastAsia="Times New Roman" w:cs="Times New Roman"/>
                <w:position w:val="1"/>
                <w:sz w:val="16"/>
                <w:szCs w:val="16"/>
              </w:rPr>
              <w:t>课程</w:t>
            </w:r>
          </w:p>
        </w:tc>
        <w:tc>
          <w:tcPr>
            <w:tcW w:w="1675" w:type="dxa"/>
            <w:tcBorders>
              <w:top w:val="single" w:color="000000" w:sz="2" w:space="0"/>
              <w:bottom w:val="single" w:color="auto" w:sz="4" w:space="0"/>
            </w:tcBorders>
            <w:vAlign w:val="top"/>
          </w:tcPr>
          <w:p w14:paraId="22997D75">
            <w:pPr>
              <w:spacing w:before="29" w:line="221" w:lineRule="auto"/>
              <w:jc w:val="both"/>
              <w:rPr>
                <w:rFonts w:ascii="宋体" w:hAnsi="宋体" w:eastAsia="宋体" w:cs="宋体"/>
                <w:spacing w:val="6"/>
                <w:sz w:val="17"/>
                <w:szCs w:val="17"/>
              </w:rPr>
            </w:pPr>
            <w:r>
              <w:rPr>
                <w:rFonts w:hint="default" w:ascii="Times New Roman" w:hAnsi="Times New Roman" w:eastAsia="Times New Roman" w:cs="Times New Roman"/>
                <w:position w:val="1"/>
                <w:sz w:val="16"/>
                <w:szCs w:val="16"/>
              </w:rPr>
              <w:t>口语</w:t>
            </w:r>
            <w:r>
              <w:rPr>
                <w:rFonts w:hint="default" w:ascii="Times New Roman" w:hAnsi="Times New Roman" w:eastAsia="Times New Roman" w:cs="Times New Roman"/>
                <w:position w:val="1"/>
                <w:sz w:val="16"/>
                <w:szCs w:val="16"/>
                <w:woUserID w:val="1"/>
              </w:rPr>
              <w:t>沟通</w:t>
            </w:r>
            <w:r>
              <w:rPr>
                <w:rFonts w:hint="eastAsia" w:ascii="Times New Roman" w:hAnsi="Times New Roman" w:eastAsia="宋体" w:cs="Times New Roman"/>
                <w:position w:val="1"/>
                <w:sz w:val="16"/>
                <w:szCs w:val="16"/>
                <w:lang w:val="en-US" w:eastAsia="zh-CN"/>
                <w:woUserID w:val="1"/>
              </w:rPr>
              <w:t>/学术写作</w:t>
            </w:r>
            <w:r>
              <w:rPr>
                <w:rFonts w:hint="default" w:ascii="Times New Roman" w:hAnsi="Times New Roman" w:eastAsia="Times New Roman" w:cs="Times New Roman"/>
                <w:position w:val="1"/>
                <w:sz w:val="16"/>
                <w:szCs w:val="16"/>
              </w:rPr>
              <w:t>课程</w:t>
            </w:r>
          </w:p>
        </w:tc>
        <w:tc>
          <w:tcPr>
            <w:tcW w:w="1675" w:type="dxa"/>
            <w:tcBorders>
              <w:top w:val="single" w:color="000000" w:sz="2" w:space="0"/>
              <w:bottom w:val="single" w:color="auto" w:sz="4" w:space="0"/>
            </w:tcBorders>
            <w:vAlign w:val="top"/>
          </w:tcPr>
          <w:p w14:paraId="5313CC59">
            <w:pPr>
              <w:spacing w:before="29" w:line="221" w:lineRule="auto"/>
              <w:jc w:val="both"/>
              <w:rPr>
                <w:rFonts w:ascii="宋体" w:hAnsi="宋体" w:eastAsia="宋体" w:cs="宋体"/>
                <w:spacing w:val="6"/>
                <w:sz w:val="17"/>
                <w:szCs w:val="17"/>
              </w:rPr>
            </w:pPr>
            <w:r>
              <w:rPr>
                <w:rFonts w:hint="default" w:ascii="Times New Roman" w:hAnsi="Times New Roman" w:eastAsia="Times New Roman" w:cs="Times New Roman"/>
                <w:position w:val="1"/>
                <w:sz w:val="16"/>
                <w:szCs w:val="16"/>
              </w:rPr>
              <w:t>口语</w:t>
            </w:r>
            <w:r>
              <w:rPr>
                <w:rFonts w:hint="default" w:ascii="Times New Roman" w:hAnsi="Times New Roman" w:eastAsia="Times New Roman" w:cs="Times New Roman"/>
                <w:position w:val="1"/>
                <w:sz w:val="16"/>
                <w:szCs w:val="16"/>
                <w:woUserID w:val="1"/>
              </w:rPr>
              <w:t>沟通</w:t>
            </w:r>
            <w:r>
              <w:rPr>
                <w:rFonts w:hint="eastAsia" w:ascii="Times New Roman" w:hAnsi="Times New Roman" w:eastAsia="宋体" w:cs="Times New Roman"/>
                <w:position w:val="1"/>
                <w:sz w:val="16"/>
                <w:szCs w:val="16"/>
                <w:lang w:val="en-US" w:eastAsia="zh-CN"/>
                <w:woUserID w:val="1"/>
              </w:rPr>
              <w:t>/学术写作</w:t>
            </w:r>
            <w:r>
              <w:rPr>
                <w:rFonts w:hint="default" w:ascii="Times New Roman" w:hAnsi="Times New Roman" w:eastAsia="Times New Roman" w:cs="Times New Roman"/>
                <w:position w:val="1"/>
                <w:sz w:val="16"/>
                <w:szCs w:val="16"/>
              </w:rPr>
              <w:t>课程</w:t>
            </w:r>
          </w:p>
        </w:tc>
        <w:tc>
          <w:tcPr>
            <w:tcW w:w="1763" w:type="dxa"/>
            <w:tcBorders>
              <w:top w:val="single" w:color="000000" w:sz="2" w:space="0"/>
              <w:bottom w:val="single" w:color="auto" w:sz="4" w:space="0"/>
            </w:tcBorders>
            <w:vAlign w:val="top"/>
          </w:tcPr>
          <w:p w14:paraId="6C748F74">
            <w:pPr>
              <w:spacing w:before="29" w:line="221" w:lineRule="auto"/>
              <w:jc w:val="both"/>
              <w:rPr>
                <w:rFonts w:ascii="宋体" w:hAnsi="宋体" w:eastAsia="宋体" w:cs="宋体"/>
                <w:spacing w:val="6"/>
                <w:sz w:val="17"/>
                <w:szCs w:val="17"/>
              </w:rPr>
            </w:pPr>
            <w:r>
              <w:rPr>
                <w:rFonts w:hint="default" w:ascii="Times New Roman" w:hAnsi="Times New Roman" w:eastAsia="Times New Roman" w:cs="Times New Roman"/>
                <w:position w:val="1"/>
                <w:sz w:val="16"/>
                <w:szCs w:val="16"/>
              </w:rPr>
              <w:t>口语</w:t>
            </w:r>
            <w:r>
              <w:rPr>
                <w:rFonts w:hint="default" w:ascii="Times New Roman" w:hAnsi="Times New Roman" w:eastAsia="Times New Roman" w:cs="Times New Roman"/>
                <w:position w:val="1"/>
                <w:sz w:val="16"/>
                <w:szCs w:val="16"/>
                <w:woUserID w:val="1"/>
              </w:rPr>
              <w:t>沟通</w:t>
            </w:r>
            <w:r>
              <w:rPr>
                <w:rFonts w:hint="eastAsia" w:ascii="Times New Roman" w:hAnsi="Times New Roman" w:eastAsia="宋体" w:cs="Times New Roman"/>
                <w:position w:val="1"/>
                <w:sz w:val="16"/>
                <w:szCs w:val="16"/>
                <w:lang w:val="en-US" w:eastAsia="zh-CN"/>
                <w:woUserID w:val="1"/>
              </w:rPr>
              <w:t>/学术写作</w:t>
            </w:r>
            <w:r>
              <w:rPr>
                <w:rFonts w:hint="default" w:ascii="Times New Roman" w:hAnsi="Times New Roman" w:eastAsia="Times New Roman" w:cs="Times New Roman"/>
                <w:position w:val="1"/>
                <w:sz w:val="16"/>
                <w:szCs w:val="16"/>
              </w:rPr>
              <w:t>课程</w:t>
            </w:r>
          </w:p>
        </w:tc>
        <w:tc>
          <w:tcPr>
            <w:tcW w:w="1457" w:type="dxa"/>
            <w:tcBorders>
              <w:top w:val="single" w:color="000000" w:sz="2" w:space="0"/>
            </w:tcBorders>
            <w:vAlign w:val="top"/>
          </w:tcPr>
          <w:p w14:paraId="2EB3E061">
            <w:pPr>
              <w:spacing w:before="13" w:line="221" w:lineRule="auto"/>
              <w:ind w:left="0" w:leftChars="0" w:firstLine="182" w:firstLineChars="100"/>
              <w:jc w:val="both"/>
              <w:rPr>
                <w:rFonts w:hint="default" w:ascii="宋体" w:hAnsi="宋体" w:eastAsia="宋体" w:cs="宋体"/>
                <w:spacing w:val="6"/>
                <w:sz w:val="17"/>
                <w:szCs w:val="17"/>
              </w:rPr>
            </w:pPr>
            <w:r>
              <w:rPr>
                <w:rFonts w:ascii="宋体" w:hAnsi="宋体" w:eastAsia="宋体" w:cs="宋体"/>
                <w:spacing w:val="6"/>
                <w:sz w:val="17"/>
                <w:szCs w:val="17"/>
              </w:rPr>
              <w:t>文化参访活动</w:t>
            </w:r>
          </w:p>
        </w:tc>
      </w:tr>
    </w:tbl>
    <w:p w14:paraId="6DDC4F8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default" w:ascii="宋体" w:hAnsi="宋体" w:eastAsia="宋体" w:cs="宋体"/>
          <w:b/>
          <w:bCs/>
          <w:color w:val="auto"/>
          <w:kern w:val="0"/>
          <w:sz w:val="21"/>
          <w:szCs w:val="21"/>
          <w:lang w:eastAsia="zh-CN" w:bidi="ar"/>
        </w:rPr>
      </w:pPr>
    </w:p>
    <w:p w14:paraId="11C3F77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eastAsia" w:ascii="宋体" w:hAnsi="宋体" w:eastAsia="宋体" w:cs="宋体"/>
          <w:color w:val="auto"/>
        </w:rPr>
      </w:pPr>
      <w:r>
        <w:rPr>
          <w:rFonts w:hint="eastAsia" w:ascii="宋体" w:hAnsi="宋体" w:eastAsia="宋体" w:cs="宋体"/>
          <w:color w:val="auto"/>
          <w:kern w:val="0"/>
          <w:sz w:val="21"/>
          <w:szCs w:val="21"/>
          <w:lang w:val="en-US" w:eastAsia="zh-CN" w:bidi="ar"/>
        </w:rPr>
        <w:t>【</w:t>
      </w:r>
      <w:r>
        <w:rPr>
          <w:rFonts w:hint="eastAsia" w:ascii="宋体" w:hAnsi="宋体" w:eastAsia="宋体" w:cs="宋体"/>
          <w:b/>
          <w:color w:val="auto"/>
          <w:kern w:val="0"/>
          <w:sz w:val="21"/>
          <w:szCs w:val="21"/>
          <w:lang w:val="en-US" w:eastAsia="zh-CN" w:bidi="ar"/>
        </w:rPr>
        <w:t>项目收获</w:t>
      </w:r>
      <w:r>
        <w:rPr>
          <w:rFonts w:hint="eastAsia" w:ascii="宋体" w:hAnsi="宋体" w:eastAsia="宋体" w:cs="宋体"/>
          <w:color w:val="auto"/>
          <w:kern w:val="0"/>
          <w:sz w:val="21"/>
          <w:szCs w:val="21"/>
          <w:lang w:val="en-US" w:eastAsia="zh-CN" w:bidi="ar"/>
        </w:rPr>
        <w:t>】</w:t>
      </w:r>
    </w:p>
    <w:p w14:paraId="6C28710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color w:val="auto"/>
        </w:rPr>
      </w:pPr>
      <w:r>
        <w:rPr>
          <w:rFonts w:hint="eastAsia" w:ascii="宋体" w:hAnsi="宋体" w:eastAsia="宋体" w:cs="宋体"/>
          <w:color w:val="auto"/>
          <w:kern w:val="0"/>
          <w:sz w:val="21"/>
          <w:szCs w:val="21"/>
          <w:lang w:val="en-US" w:eastAsia="zh-CN" w:bidi="ar"/>
        </w:rPr>
        <w:t>参加</w:t>
      </w:r>
      <w:r>
        <w:rPr>
          <w:rFonts w:hint="default" w:asciiTheme="minorHAnsi" w:hAnsiTheme="minorHAnsi" w:eastAsiaTheme="majorEastAsia" w:cstheme="minorHAnsi"/>
          <w:kern w:val="0"/>
          <w:sz w:val="21"/>
          <w:szCs w:val="21"/>
          <w:lang w:val="en-US" w:eastAsia="zh-CN" w:bidi="ar-SA"/>
        </w:rPr>
        <w:t>德克萨斯</w:t>
      </w:r>
      <w:r>
        <w:rPr>
          <w:rFonts w:hint="eastAsia" w:ascii="宋体" w:hAnsi="宋体" w:eastAsia="宋体" w:cs="宋体"/>
          <w:color w:val="auto"/>
          <w:kern w:val="0"/>
          <w:sz w:val="21"/>
          <w:szCs w:val="21"/>
          <w:lang w:val="en-US" w:eastAsia="zh-CN" w:bidi="ar"/>
        </w:rPr>
        <w:t>大学奥斯汀分校</w:t>
      </w:r>
      <w:r>
        <w:rPr>
          <w:rFonts w:hint="eastAsia" w:ascii="宋体" w:hAnsi="宋体" w:eastAsia="宋体" w:cs="宋体"/>
          <w:color w:val="auto"/>
          <w:kern w:val="0"/>
          <w:sz w:val="21"/>
          <w:szCs w:val="21"/>
          <w:lang w:val="en-US" w:eastAsia="zh-Hans" w:bidi="ar"/>
        </w:rPr>
        <w:t>国际学术课程</w:t>
      </w:r>
      <w:r>
        <w:rPr>
          <w:rFonts w:hint="eastAsia" w:ascii="宋体" w:hAnsi="宋体" w:eastAsia="宋体" w:cs="宋体"/>
          <w:color w:val="auto"/>
          <w:kern w:val="0"/>
          <w:sz w:val="21"/>
          <w:szCs w:val="21"/>
          <w:lang w:val="en-US" w:eastAsia="zh-CN" w:bidi="ar"/>
        </w:rPr>
        <w:t>的学生将由奥斯汀分校进行统一的学术管理与学术考核，顺利完成学业后，学生可获得德克萨斯大学奥斯汀分校的正式学习证明</w:t>
      </w:r>
      <w:r>
        <w:rPr>
          <w:rFonts w:hint="eastAsia" w:ascii="宋体" w:hAnsi="宋体" w:eastAsia="宋体" w:cs="宋体"/>
          <w:color w:val="auto"/>
          <w:kern w:val="0"/>
          <w:sz w:val="21"/>
          <w:szCs w:val="21"/>
          <w:lang w:val="en-US" w:eastAsia="zh-Hans" w:bidi="ar"/>
        </w:rPr>
        <w:t>与成绩单</w:t>
      </w:r>
      <w:r>
        <w:rPr>
          <w:rFonts w:hint="eastAsia" w:ascii="宋体" w:hAnsi="宋体" w:eastAsia="宋体" w:cs="宋体"/>
          <w:color w:val="auto"/>
          <w:kern w:val="0"/>
          <w:sz w:val="21"/>
          <w:szCs w:val="21"/>
          <w:lang w:val="en-US" w:eastAsia="zh-CN" w:bidi="ar"/>
        </w:rPr>
        <w:t>。</w:t>
      </w:r>
    </w:p>
    <w:p w14:paraId="33F1F930">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jc w:val="left"/>
        <w:textAlignment w:val="auto"/>
        <w:outlineLvl w:val="9"/>
        <w:rPr>
          <w:color w:val="auto"/>
        </w:rPr>
      </w:pPr>
      <w:r>
        <w:rPr>
          <w:rFonts w:hint="eastAsia" w:ascii="宋体" w:hAnsi="宋体" w:eastAsia="宋体" w:cs="宋体"/>
          <w:color w:val="auto"/>
        </w:rPr>
        <w:drawing>
          <wp:inline distT="0" distB="0" distL="114300" distR="114300">
            <wp:extent cx="2731135" cy="2054225"/>
            <wp:effectExtent l="0" t="0" r="1206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731135" cy="2054225"/>
                    </a:xfrm>
                    <a:prstGeom prst="rect">
                      <a:avLst/>
                    </a:prstGeom>
                    <a:noFill/>
                    <a:ln w="9525">
                      <a:noFill/>
                    </a:ln>
                  </pic:spPr>
                </pic:pic>
              </a:graphicData>
            </a:graphic>
          </wp:inline>
        </w:drawing>
      </w:r>
      <w:r>
        <w:rPr>
          <w:rFonts w:hint="eastAsia" w:ascii="宋体" w:hAnsi="宋体" w:eastAsia="宋体" w:cs="宋体"/>
          <w:color w:val="auto"/>
        </w:rPr>
        <w:drawing>
          <wp:inline distT="0" distB="0" distL="114300" distR="114300">
            <wp:extent cx="2093595" cy="2708910"/>
            <wp:effectExtent l="0" t="0" r="146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093595" cy="2708910"/>
                    </a:xfrm>
                    <a:prstGeom prst="rect">
                      <a:avLst/>
                    </a:prstGeom>
                    <a:noFill/>
                    <a:ln w="9525">
                      <a:noFill/>
                    </a:ln>
                  </pic:spPr>
                </pic:pic>
              </a:graphicData>
            </a:graphic>
          </wp:inline>
        </w:drawing>
      </w:r>
    </w:p>
    <w:p w14:paraId="7A57CD4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left"/>
        <w:textAlignment w:val="auto"/>
        <w:outlineLvl w:val="9"/>
        <w:rPr>
          <w:rFonts w:hint="eastAsia" w:ascii="宋体" w:hAnsi="宋体" w:eastAsia="宋体" w:cs="宋体"/>
          <w:color w:val="auto"/>
        </w:rPr>
      </w:pPr>
      <w:r>
        <w:rPr>
          <w:rFonts w:hint="eastAsia" w:ascii="宋体" w:hAnsi="宋体" w:eastAsia="宋体" w:cs="宋体"/>
          <w:color w:val="auto"/>
          <w:kern w:val="0"/>
          <w:sz w:val="21"/>
          <w:szCs w:val="21"/>
          <w:lang w:val="en-US" w:eastAsia="zh-CN" w:bidi="ar"/>
        </w:rPr>
        <w:t>图：</w:t>
      </w:r>
      <w:r>
        <w:rPr>
          <w:rFonts w:hint="eastAsia" w:ascii="宋体" w:hAnsi="宋体" w:eastAsia="宋体" w:cs="宋体"/>
          <w:color w:val="auto"/>
          <w:kern w:val="0"/>
          <w:sz w:val="21"/>
          <w:szCs w:val="21"/>
          <w:lang w:val="en-US" w:eastAsia="zh-Hans" w:bidi="ar"/>
        </w:rPr>
        <w:t>德克萨斯大学</w:t>
      </w:r>
      <w:r>
        <w:rPr>
          <w:rFonts w:hint="eastAsia" w:ascii="宋体" w:hAnsi="宋体" w:eastAsia="宋体" w:cs="宋体"/>
          <w:color w:val="auto"/>
          <w:kern w:val="0"/>
          <w:sz w:val="21"/>
          <w:szCs w:val="21"/>
          <w:lang w:val="en-US" w:eastAsia="zh-CN" w:bidi="ar"/>
        </w:rPr>
        <w:t>奥斯汀分校项目证书&amp;成绩单样图</w:t>
      </w:r>
    </w:p>
    <w:p w14:paraId="332543C5">
      <w:pPr>
        <w:pStyle w:val="3"/>
        <w:keepNext w:val="0"/>
        <w:keepLines w:val="0"/>
        <w:widowControl/>
        <w:suppressLineNumbers w:val="0"/>
        <w:spacing w:before="0" w:beforeAutospacing="0" w:after="0" w:afterAutospacing="0"/>
        <w:ind w:left="0" w:right="0"/>
        <w:jc w:val="both"/>
        <w:rPr>
          <w:rFonts w:hint="eastAsia" w:ascii="宋体" w:hAnsi="宋体" w:eastAsia="宋体" w:cs="宋体"/>
        </w:rPr>
      </w:pPr>
    </w:p>
    <w:p w14:paraId="6A109D7E">
      <w:pPr>
        <w:pStyle w:val="3"/>
        <w:keepNext w:val="0"/>
        <w:keepLines w:val="0"/>
        <w:widowControl/>
        <w:suppressLineNumbers w:val="0"/>
        <w:spacing w:before="0" w:beforeAutospacing="0" w:after="0" w:afterAutospacing="0"/>
        <w:ind w:left="0" w:right="0"/>
        <w:jc w:val="left"/>
        <w:rPr>
          <w:rFonts w:hint="eastAsia" w:ascii="宋体" w:hAnsi="宋体" w:eastAsia="宋体" w:cs="宋体"/>
        </w:rPr>
      </w:pPr>
      <w:r>
        <w:rPr>
          <w:rFonts w:hint="eastAsia" w:ascii="宋体" w:hAnsi="宋体" w:eastAsia="宋体" w:cs="宋体"/>
          <w:color w:val="000000"/>
          <w:kern w:val="0"/>
          <w:sz w:val="21"/>
          <w:szCs w:val="21"/>
          <w:lang w:val="en-US" w:eastAsia="zh-CN" w:bidi="ar"/>
        </w:rPr>
        <w:t>【</w:t>
      </w:r>
      <w:r>
        <w:rPr>
          <w:rFonts w:hint="eastAsia" w:ascii="宋体" w:hAnsi="宋体" w:eastAsia="宋体" w:cs="宋体"/>
          <w:b/>
          <w:color w:val="000000"/>
          <w:kern w:val="0"/>
          <w:sz w:val="21"/>
          <w:szCs w:val="21"/>
          <w:lang w:val="en-US" w:eastAsia="zh-CN" w:bidi="ar"/>
        </w:rPr>
        <w:t>项目费用</w:t>
      </w:r>
      <w:r>
        <w:rPr>
          <w:rFonts w:hint="eastAsia" w:ascii="宋体" w:hAnsi="宋体" w:eastAsia="宋体" w:cs="宋体"/>
          <w:color w:val="000000"/>
          <w:kern w:val="0"/>
          <w:sz w:val="21"/>
          <w:szCs w:val="21"/>
          <w:lang w:val="en-US" w:eastAsia="zh-CN" w:bidi="ar"/>
        </w:rPr>
        <w:t>】</w:t>
      </w:r>
    </w:p>
    <w:tbl>
      <w:tblPr>
        <w:tblStyle w:val="4"/>
        <w:tblW w:w="8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800"/>
        <w:gridCol w:w="6600"/>
      </w:tblGrid>
      <w:tr w14:paraId="6CD62BBC">
        <w:trPr>
          <w:trHeight w:val="30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14:paraId="3B9705E3">
            <w:pPr>
              <w:pStyle w:val="3"/>
              <w:keepNext w:val="0"/>
              <w:keepLines w:val="0"/>
              <w:widowControl/>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项目总费用</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14:paraId="5C62F7EF">
            <w:pPr>
              <w:pStyle w:val="3"/>
              <w:keepNext w:val="0"/>
              <w:keepLines w:val="0"/>
              <w:widowControl/>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cs="宋体"/>
                <w:sz w:val="21"/>
                <w:szCs w:val="21"/>
                <w:lang w:eastAsia="zh-CN"/>
              </w:rPr>
              <w:t>6</w:t>
            </w:r>
            <w:r>
              <w:rPr>
                <w:rFonts w:hint="eastAsia" w:cs="宋体"/>
                <w:sz w:val="21"/>
                <w:szCs w:val="21"/>
                <w:lang w:val="en-US" w:eastAsia="zh-CN"/>
              </w:rPr>
              <w:t>5</w:t>
            </w:r>
            <w:r>
              <w:rPr>
                <w:rFonts w:hint="default" w:cs="宋体"/>
                <w:sz w:val="21"/>
                <w:szCs w:val="21"/>
                <w:lang w:eastAsia="zh-CN"/>
              </w:rPr>
              <w:t>00</w:t>
            </w:r>
            <w:r>
              <w:rPr>
                <w:rFonts w:hint="default" w:ascii="宋体" w:hAnsi="宋体" w:eastAsia="宋体" w:cs="宋体"/>
                <w:sz w:val="21"/>
                <w:szCs w:val="21"/>
                <w:lang w:eastAsia="zh-CN"/>
              </w:rPr>
              <w:t>美金</w:t>
            </w:r>
          </w:p>
        </w:tc>
      </w:tr>
      <w:tr w14:paraId="64F03C82">
        <w:trPr>
          <w:trHeight w:val="28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14:paraId="35F4A6C8">
            <w:pPr>
              <w:pStyle w:val="3"/>
              <w:keepNext w:val="0"/>
              <w:keepLines w:val="0"/>
              <w:widowControl/>
              <w:suppressLineNumbers w:val="0"/>
              <w:spacing w:before="0" w:beforeAutospacing="0" w:after="0" w:afterAutospacing="0"/>
              <w:ind w:left="0" w:right="0"/>
              <w:jc w:val="both"/>
              <w:rPr>
                <w:rFonts w:hint="eastAsia" w:ascii="宋体" w:hAnsi="宋体" w:eastAsia="宋体" w:cs="宋体"/>
              </w:rPr>
            </w:pPr>
            <w:r>
              <w:rPr>
                <w:rFonts w:hint="eastAsia" w:ascii="宋体" w:hAnsi="宋体" w:eastAsia="宋体" w:cs="宋体"/>
                <w:color w:val="000000"/>
                <w:kern w:val="0"/>
                <w:sz w:val="21"/>
                <w:szCs w:val="21"/>
                <w:lang w:val="en-US" w:eastAsia="zh-CN" w:bidi="ar"/>
              </w:rPr>
              <w:t>费用包括</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14:paraId="2DC4A9A9">
            <w:pPr>
              <w:pStyle w:val="3"/>
              <w:keepNext w:val="0"/>
              <w:keepLines w:val="0"/>
              <w:widowControl/>
              <w:suppressLineNumbers w:val="0"/>
              <w:spacing w:before="0" w:beforeAutospacing="0" w:after="0" w:afterAutospacing="0"/>
              <w:ind w:left="0" w:right="0"/>
              <w:jc w:val="both"/>
              <w:rPr>
                <w:rFonts w:hint="default" w:ascii="宋体" w:hAnsi="宋体" w:eastAsia="宋体" w:cs="宋体"/>
              </w:rPr>
            </w:pPr>
            <w:r>
              <w:rPr>
                <w:rFonts w:hint="eastAsia" w:ascii="宋体" w:hAnsi="宋体" w:eastAsia="宋体" w:cs="宋体"/>
                <w:color w:val="000000"/>
                <w:kern w:val="0"/>
                <w:sz w:val="21"/>
                <w:szCs w:val="21"/>
                <w:lang w:val="en-US" w:eastAsia="zh-CN" w:bidi="ar"/>
              </w:rPr>
              <w:t>课程学费</w:t>
            </w:r>
            <w:r>
              <w:rPr>
                <w:rFonts w:hint="default"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Hans" w:bidi="ar"/>
              </w:rPr>
              <w:t>学杂费</w:t>
            </w:r>
            <w:r>
              <w:rPr>
                <w:rFonts w:hint="default" w:ascii="宋体" w:hAnsi="宋体" w:eastAsia="宋体" w:cs="宋体"/>
                <w:color w:val="000000"/>
                <w:kern w:val="0"/>
                <w:sz w:val="21"/>
                <w:szCs w:val="21"/>
                <w:lang w:eastAsia="zh-Hans" w:bidi="ar"/>
              </w:rPr>
              <w:t>、</w:t>
            </w:r>
            <w:r>
              <w:rPr>
                <w:rFonts w:hint="eastAsia" w:cs="宋体"/>
                <w:color w:val="000000"/>
                <w:kern w:val="0"/>
                <w:sz w:val="21"/>
                <w:szCs w:val="21"/>
                <w:lang w:val="en-US" w:eastAsia="zh-CN" w:bidi="ar"/>
              </w:rPr>
              <w:t>项目管理与服务费、</w:t>
            </w:r>
            <w:r>
              <w:rPr>
                <w:rFonts w:hint="eastAsia" w:ascii="宋体" w:hAnsi="宋体" w:eastAsia="宋体" w:cs="宋体"/>
                <w:color w:val="000000"/>
                <w:kern w:val="0"/>
                <w:sz w:val="21"/>
                <w:szCs w:val="21"/>
                <w:lang w:val="en-US" w:eastAsia="zh-Hans" w:bidi="ar"/>
              </w:rPr>
              <w:t>海外保险</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Hans" w:bidi="ar"/>
              </w:rPr>
              <w:t>校内公寓住宿费</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Hans" w:bidi="ar"/>
              </w:rPr>
              <w:t>签证培训指导</w:t>
            </w:r>
            <w:r>
              <w:rPr>
                <w:rFonts w:hint="default" w:ascii="宋体" w:hAnsi="宋体" w:eastAsia="宋体" w:cs="宋体"/>
                <w:color w:val="000000"/>
                <w:kern w:val="0"/>
                <w:sz w:val="21"/>
                <w:szCs w:val="21"/>
                <w:lang w:eastAsia="zh-Hans" w:bidi="ar"/>
              </w:rPr>
              <w:t>、接机、一日三餐</w:t>
            </w:r>
          </w:p>
        </w:tc>
      </w:tr>
      <w:tr w14:paraId="32C7061B">
        <w:trPr>
          <w:trHeight w:val="28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14:paraId="7A1F0EFC">
            <w:pPr>
              <w:pStyle w:val="3"/>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Hans" w:bidi="ar"/>
              </w:rPr>
              <w:t>费用不包括</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top"/>
          </w:tcPr>
          <w:p w14:paraId="64A8582B">
            <w:pPr>
              <w:pStyle w:val="3"/>
              <w:keepNext w:val="0"/>
              <w:keepLines w:val="0"/>
              <w:widowControl/>
              <w:suppressLineNumbers w:val="0"/>
              <w:spacing w:before="0" w:beforeAutospacing="0" w:after="0" w:afterAutospacing="0"/>
              <w:ind w:left="0" w:right="0"/>
              <w:jc w:val="both"/>
              <w:rPr>
                <w:rFonts w:hint="default" w:ascii="宋体" w:hAnsi="宋体" w:eastAsia="宋体" w:cs="宋体"/>
                <w:color w:val="000000"/>
                <w:kern w:val="0"/>
                <w:sz w:val="21"/>
                <w:szCs w:val="21"/>
                <w:lang w:val="en-US" w:eastAsia="zh-Hans" w:bidi="ar"/>
              </w:rPr>
            </w:pPr>
            <w:r>
              <w:rPr>
                <w:rFonts w:hint="eastAsia" w:ascii="宋体" w:hAnsi="宋体" w:eastAsia="宋体" w:cs="宋体"/>
                <w:color w:val="000000"/>
                <w:kern w:val="0"/>
                <w:sz w:val="21"/>
                <w:szCs w:val="21"/>
                <w:lang w:val="en-US" w:eastAsia="zh-Hans" w:bidi="ar"/>
              </w:rPr>
              <w:t>签证费</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Hans" w:bidi="ar"/>
              </w:rPr>
              <w:t>往返机票</w:t>
            </w:r>
            <w:r>
              <w:rPr>
                <w:rFonts w:hint="default"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val="en-US" w:eastAsia="zh-Hans" w:bidi="ar"/>
              </w:rPr>
              <w:t>其他个人消费</w:t>
            </w:r>
          </w:p>
        </w:tc>
      </w:tr>
    </w:tbl>
    <w:p w14:paraId="4716A584">
      <w:pPr>
        <w:pStyle w:val="3"/>
        <w:keepNext w:val="0"/>
        <w:keepLines w:val="0"/>
        <w:widowControl/>
        <w:suppressLineNumbers w:val="0"/>
        <w:spacing w:before="0" w:beforeAutospacing="0" w:after="0" w:afterAutospacing="0"/>
        <w:ind w:left="0" w:right="0"/>
        <w:jc w:val="both"/>
        <w:rPr>
          <w:rFonts w:hint="eastAsia" w:ascii="宋体" w:hAnsi="宋体" w:eastAsia="宋体" w:cs="宋体"/>
          <w:b/>
          <w:color w:val="000000"/>
          <w:kern w:val="0"/>
          <w:sz w:val="21"/>
          <w:szCs w:val="21"/>
          <w:lang w:val="en-US" w:eastAsia="zh-CN" w:bidi="ar"/>
        </w:rPr>
      </w:pPr>
    </w:p>
    <w:p w14:paraId="7AD8B61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jc w:val="both"/>
        <w:textAlignment w:val="auto"/>
        <w:outlineLvl w:val="9"/>
        <w:rPr>
          <w:rFonts w:hint="eastAsia" w:ascii="宋体" w:hAnsi="宋体" w:eastAsia="宋体" w:cs="宋体"/>
        </w:rPr>
      </w:pPr>
      <w:r>
        <w:rPr>
          <w:rFonts w:hint="eastAsia" w:ascii="宋体" w:hAnsi="宋体" w:eastAsia="宋体" w:cs="宋体"/>
          <w:b/>
          <w:color w:val="000000"/>
          <w:kern w:val="0"/>
          <w:sz w:val="21"/>
          <w:szCs w:val="21"/>
          <w:lang w:val="en-US" w:eastAsia="zh-CN" w:bidi="ar"/>
        </w:rPr>
        <w:t>五、项目申请</w:t>
      </w:r>
    </w:p>
    <w:p w14:paraId="25FFB1B8">
      <w:pPr>
        <w:keepNext w:val="0"/>
        <w:keepLines w:val="0"/>
        <w:pageBreakBefore w:val="0"/>
        <w:widowControl/>
        <w:numPr>
          <w:ilvl w:val="0"/>
          <w:numId w:val="22"/>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项目名额</w:t>
      </w:r>
    </w:p>
    <w:p w14:paraId="28DE3C4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20"/>
        <w:jc w:val="both"/>
        <w:textAlignment w:val="auto"/>
        <w:outlineLvl w:val="9"/>
        <w:rPr>
          <w:rFonts w:hint="eastAsia" w:ascii="宋体" w:hAnsi="宋体" w:eastAsia="宋体" w:cs="宋体"/>
        </w:rPr>
      </w:pPr>
      <w:r>
        <w:rPr>
          <w:rFonts w:hint="eastAsia" w:ascii="宋体" w:hAnsi="宋体" w:eastAsia="宋体" w:cs="宋体"/>
          <w:color w:val="000000"/>
          <w:kern w:val="0"/>
          <w:sz w:val="21"/>
          <w:szCs w:val="21"/>
          <w:lang w:val="en-US" w:eastAsia="zh-CN" w:bidi="ar"/>
        </w:rPr>
        <w:t>202</w:t>
      </w:r>
      <w:r>
        <w:rPr>
          <w:rFonts w:hint="eastAsia" w:cs="宋体"/>
          <w:color w:val="000000"/>
          <w:kern w:val="0"/>
          <w:sz w:val="21"/>
          <w:szCs w:val="21"/>
          <w:lang w:val="en-US" w:eastAsia="zh-CN" w:bidi="ar"/>
        </w:rPr>
        <w:t>5暑期</w:t>
      </w:r>
      <w:r>
        <w:rPr>
          <w:rFonts w:hint="eastAsia" w:ascii="宋体" w:hAnsi="宋体" w:eastAsia="宋体" w:cs="宋体"/>
          <w:color w:val="000000"/>
          <w:kern w:val="0"/>
          <w:sz w:val="21"/>
          <w:szCs w:val="21"/>
          <w:lang w:val="en-US" w:eastAsia="zh-CN" w:bidi="ar"/>
        </w:rPr>
        <w:t>德克萨斯大学奥斯汀分校</w:t>
      </w:r>
      <w:r>
        <w:rPr>
          <w:rFonts w:hint="eastAsia" w:ascii="宋体" w:hAnsi="宋体" w:eastAsia="宋体" w:cs="宋体"/>
          <w:color w:val="000000"/>
          <w:kern w:val="0"/>
          <w:sz w:val="21"/>
          <w:szCs w:val="21"/>
          <w:lang w:val="en-US" w:eastAsia="zh-Hans" w:bidi="ar"/>
        </w:rPr>
        <w:t>国际学术课程</w:t>
      </w:r>
      <w:r>
        <w:rPr>
          <w:rFonts w:hint="eastAsia" w:cs="宋体"/>
          <w:color w:val="000000"/>
          <w:kern w:val="0"/>
          <w:sz w:val="21"/>
          <w:szCs w:val="21"/>
          <w:lang w:val="en-US" w:eastAsia="zh-Hans" w:bidi="ar"/>
        </w:rPr>
        <w:t>的</w:t>
      </w:r>
      <w:r>
        <w:rPr>
          <w:rFonts w:hint="eastAsia" w:ascii="宋体" w:hAnsi="宋体" w:eastAsia="宋体" w:cs="宋体"/>
          <w:color w:val="000000"/>
          <w:kern w:val="0"/>
          <w:sz w:val="21"/>
          <w:szCs w:val="21"/>
          <w:lang w:val="en-US" w:eastAsia="zh-CN" w:bidi="ar"/>
        </w:rPr>
        <w:t>选拔名额为</w:t>
      </w:r>
      <w:r>
        <w:rPr>
          <w:rFonts w:hint="default" w:cs="宋体"/>
          <w:color w:val="000000"/>
          <w:kern w:val="0"/>
          <w:sz w:val="21"/>
          <w:szCs w:val="21"/>
          <w:lang w:eastAsia="zh-CN" w:bidi="ar"/>
        </w:rPr>
        <w:t>20</w:t>
      </w:r>
      <w:r>
        <w:rPr>
          <w:rFonts w:hint="eastAsia" w:ascii="宋体" w:hAnsi="宋体" w:eastAsia="宋体" w:cs="宋体"/>
          <w:color w:val="000000"/>
          <w:kern w:val="0"/>
          <w:sz w:val="21"/>
          <w:szCs w:val="21"/>
          <w:lang w:val="en-US" w:eastAsia="zh-CN" w:bidi="ar"/>
        </w:rPr>
        <w:t>名。</w:t>
      </w:r>
    </w:p>
    <w:p w14:paraId="55A2BF42">
      <w:pPr>
        <w:keepNext w:val="0"/>
        <w:keepLines w:val="0"/>
        <w:pageBreakBefore w:val="0"/>
        <w:widowControl/>
        <w:numPr>
          <w:ilvl w:val="0"/>
          <w:numId w:val="22"/>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项目申请截止日期：</w:t>
      </w:r>
      <w:r>
        <w:rPr>
          <w:rFonts w:hint="eastAsia" w:ascii="宋体" w:hAnsi="宋体" w:eastAsia="宋体" w:cs="宋体"/>
          <w:b w:val="0"/>
          <w:bCs/>
          <w:color w:val="000000"/>
          <w:sz w:val="21"/>
          <w:szCs w:val="21"/>
        </w:rPr>
        <w:t>202</w:t>
      </w:r>
      <w:r>
        <w:rPr>
          <w:rFonts w:hint="eastAsia" w:ascii="宋体" w:hAnsi="宋体" w:eastAsia="宋体" w:cs="宋体"/>
          <w:b w:val="0"/>
          <w:bCs/>
          <w:color w:val="000000"/>
          <w:sz w:val="21"/>
          <w:szCs w:val="21"/>
          <w:lang w:val="en-US" w:eastAsia="zh-CN"/>
        </w:rPr>
        <w:t>5</w:t>
      </w:r>
      <w:r>
        <w:rPr>
          <w:rFonts w:hint="eastAsia" w:ascii="宋体" w:hAnsi="宋体" w:eastAsia="宋体" w:cs="宋体"/>
          <w:b w:val="0"/>
          <w:bCs/>
          <w:color w:val="000000"/>
          <w:sz w:val="21"/>
          <w:szCs w:val="21"/>
        </w:rPr>
        <w:t>年</w:t>
      </w:r>
      <w:r>
        <w:rPr>
          <w:rFonts w:hint="eastAsia" w:ascii="宋体" w:hAnsi="宋体" w:eastAsia="宋体" w:cs="宋体"/>
          <w:b w:val="0"/>
          <w:bCs/>
          <w:color w:val="000000"/>
          <w:sz w:val="21"/>
          <w:szCs w:val="21"/>
          <w:lang w:val="en-US" w:eastAsia="zh-CN"/>
        </w:rPr>
        <w:t>4</w:t>
      </w:r>
      <w:r>
        <w:rPr>
          <w:rFonts w:hint="eastAsia" w:ascii="宋体" w:hAnsi="宋体" w:eastAsia="宋体" w:cs="宋体"/>
          <w:b w:val="0"/>
          <w:bCs/>
          <w:color w:val="000000"/>
          <w:sz w:val="21"/>
          <w:szCs w:val="21"/>
        </w:rPr>
        <w:t>月</w:t>
      </w:r>
      <w:r>
        <w:rPr>
          <w:rFonts w:hint="eastAsia" w:ascii="宋体" w:hAnsi="宋体" w:eastAsia="宋体" w:cs="宋体"/>
          <w:b w:val="0"/>
          <w:bCs/>
          <w:color w:val="000000"/>
          <w:sz w:val="21"/>
          <w:szCs w:val="21"/>
          <w:lang w:val="en-US" w:eastAsia="zh-CN"/>
        </w:rPr>
        <w:t>25</w:t>
      </w:r>
      <w:r>
        <w:rPr>
          <w:rFonts w:hint="eastAsia" w:ascii="宋体" w:hAnsi="宋体" w:eastAsia="宋体" w:cs="宋体"/>
          <w:b w:val="0"/>
          <w:bCs/>
          <w:color w:val="000000"/>
          <w:sz w:val="21"/>
          <w:szCs w:val="21"/>
        </w:rPr>
        <w:t>日</w:t>
      </w:r>
      <w:r>
        <w:rPr>
          <w:rFonts w:hint="eastAsia" w:ascii="宋体" w:hAnsi="宋体" w:eastAsia="宋体" w:cs="宋体"/>
          <w:b w:val="0"/>
          <w:bCs/>
          <w:color w:val="000000"/>
          <w:sz w:val="21"/>
          <w:szCs w:val="21"/>
          <w:lang w:eastAsia="zh-CN"/>
        </w:rPr>
        <w:t>。</w:t>
      </w:r>
    </w:p>
    <w:p w14:paraId="78E1C20D">
      <w:pPr>
        <w:keepNext w:val="0"/>
        <w:keepLines w:val="0"/>
        <w:pageBreakBefore w:val="0"/>
        <w:widowControl/>
        <w:numPr>
          <w:ilvl w:val="0"/>
          <w:numId w:val="22"/>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选拔要求</w:t>
      </w:r>
    </w:p>
    <w:p w14:paraId="336F959A">
      <w:pPr>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仅限本校全日制本科生及研究生，成绩优异、道德品质好，在校期间未受过纪律处分，身心健康，能顺利完成</w:t>
      </w:r>
      <w:r>
        <w:rPr>
          <w:rFonts w:hint="default" w:ascii="宋体" w:hAnsi="宋体" w:eastAsia="宋体" w:cs="宋体"/>
          <w:color w:val="000000"/>
          <w:sz w:val="21"/>
          <w:szCs w:val="21"/>
        </w:rPr>
        <w:t>海外大学</w:t>
      </w:r>
      <w:r>
        <w:rPr>
          <w:rFonts w:hint="eastAsia" w:ascii="宋体" w:hAnsi="宋体" w:eastAsia="宋体" w:cs="宋体"/>
          <w:color w:val="000000"/>
          <w:sz w:val="21"/>
          <w:szCs w:val="21"/>
        </w:rPr>
        <w:t>学习任务；</w:t>
      </w:r>
    </w:p>
    <w:p w14:paraId="382C1A02">
      <w:pPr>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年龄：学生开课时需已满18岁</w:t>
      </w:r>
      <w:r>
        <w:rPr>
          <w:rFonts w:hint="eastAsia" w:ascii="宋体" w:hAnsi="宋体" w:eastAsia="宋体" w:cs="宋体"/>
          <w:color w:val="000000"/>
          <w:sz w:val="21"/>
          <w:szCs w:val="21"/>
          <w:lang w:eastAsia="zh-CN"/>
        </w:rPr>
        <w:t>；</w:t>
      </w:r>
    </w:p>
    <w:p w14:paraId="264403FD">
      <w:pPr>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申请要求: 具有良好的英语基础</w:t>
      </w:r>
    </w:p>
    <w:p w14:paraId="45CEDB29">
      <w:pPr>
        <w:keepNext w:val="0"/>
        <w:keepLines w:val="0"/>
        <w:pageBreakBefore w:val="0"/>
        <w:widowControl/>
        <w:numPr>
          <w:ilvl w:val="0"/>
          <w:numId w:val="23"/>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家庭具有一定经济基础，能够提供访学所需学杂费；</w:t>
      </w:r>
    </w:p>
    <w:p w14:paraId="35F37EF3">
      <w:pPr>
        <w:keepNext w:val="0"/>
        <w:keepLines w:val="0"/>
        <w:pageBreakBefore w:val="0"/>
        <w:widowControl/>
        <w:numPr>
          <w:ilvl w:val="0"/>
          <w:numId w:val="22"/>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eastAsia" w:ascii="宋体" w:hAnsi="宋体" w:eastAsia="宋体" w:cs="宋体"/>
          <w:b/>
          <w:bCs w:val="0"/>
          <w:color w:val="000000"/>
          <w:sz w:val="21"/>
          <w:szCs w:val="21"/>
          <w:lang w:val="en-US" w:eastAsia="zh-Hans"/>
        </w:rPr>
      </w:pPr>
      <w:r>
        <w:rPr>
          <w:rFonts w:hint="eastAsia" w:ascii="宋体" w:hAnsi="宋体" w:eastAsia="宋体" w:cs="宋体"/>
          <w:b/>
          <w:bCs w:val="0"/>
          <w:color w:val="000000"/>
          <w:sz w:val="21"/>
          <w:szCs w:val="21"/>
          <w:lang w:val="en-US" w:eastAsia="zh-Hans"/>
        </w:rPr>
        <w:t>课程咨询与申请</w:t>
      </w:r>
    </w:p>
    <w:p w14:paraId="7F9B486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项目报名表：https://kaoshi.wjx.top/vm/O8WghpD.aspx# </w:t>
      </w:r>
    </w:p>
    <w:p w14:paraId="61F4AF0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14:paraId="5D3CF4C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8"/>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14:paraId="076D8070">
      <w:pPr>
        <w:keepNext w:val="0"/>
        <w:keepLines w:val="0"/>
        <w:pageBreakBefore w:val="0"/>
        <w:widowControl/>
        <w:numPr>
          <w:ilvl w:val="0"/>
          <w:numId w:val="22"/>
        </w:numPr>
        <w:suppressLineNumbers w:val="0"/>
        <w:kinsoku/>
        <w:wordWrap/>
        <w:overflowPunct/>
        <w:topLinePunct w:val="0"/>
        <w:autoSpaceDE/>
        <w:autoSpaceDN/>
        <w:bidi w:val="0"/>
        <w:adjustRightInd/>
        <w:snapToGrid/>
        <w:spacing w:beforeAutospacing="0" w:afterAutospacing="0" w:line="360" w:lineRule="auto"/>
        <w:ind w:left="425" w:leftChars="0" w:right="0" w:rightChars="0" w:hanging="425" w:firstLineChars="0"/>
        <w:jc w:val="both"/>
        <w:textAlignment w:val="auto"/>
        <w:outlineLvl w:val="9"/>
        <w:rPr>
          <w:rFonts w:hint="default" w:ascii="宋体" w:hAnsi="宋体" w:eastAsia="宋体" w:cs="宋体"/>
          <w:b/>
          <w:bCs w:val="0"/>
          <w:color w:val="000000"/>
          <w:sz w:val="21"/>
          <w:szCs w:val="21"/>
          <w:lang w:val="en-US" w:eastAsia="zh-CN"/>
        </w:rPr>
      </w:pPr>
      <w:r>
        <w:rPr>
          <w:rFonts w:hint="default" w:ascii="宋体" w:hAnsi="宋体" w:eastAsia="宋体" w:cs="宋体"/>
          <w:b/>
          <w:bCs w:val="0"/>
          <w:color w:val="000000"/>
          <w:sz w:val="21"/>
          <w:szCs w:val="21"/>
          <w:lang w:val="en-US" w:eastAsia="zh-CN"/>
        </w:rPr>
        <w:t>校内审批与备案：</w:t>
      </w:r>
    </w:p>
    <w:p w14:paraId="6B28A48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所有参加以上项目的同学，均须在参与项目之前完成校内备案。</w:t>
      </w:r>
    </w:p>
    <w:p w14:paraId="08E77CF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1. 本科生请在东华大学</w:t>
      </w:r>
      <w:bookmarkStart w:id="0" w:name="_GoBack"/>
      <w:bookmarkEnd w:id="0"/>
      <w:r>
        <w:rPr>
          <w:rFonts w:hint="eastAsia" w:ascii="宋体" w:hAnsi="宋体" w:eastAsia="宋体" w:cs="宋体"/>
          <w:kern w:val="2"/>
          <w:sz w:val="21"/>
          <w:szCs w:val="21"/>
          <w:lang w:val="en-US" w:eastAsia="zh-Hans" w:bidi="ar-SA"/>
        </w:rPr>
        <w:t>新教务系统的校外交流申请栏目中填写并提交申请</w:t>
      </w:r>
    </w:p>
    <w:p w14:paraId="28A7DE5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2. 研究生请在信息门户里研究生系统-国际交流-公派、短期出国界面填写出国任务书；同时在同个界面提交出国担保书和责任书</w:t>
      </w:r>
    </w:p>
    <w:p w14:paraId="12D3B5A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联系人：国际合作处段老师duanjingbei@dhu.edu.cn</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ongti tc">
    <w:panose1 w:val="02010600040101010101"/>
    <w:charset w:val="86"/>
    <w:family w:val="auto"/>
    <w:pitch w:val="default"/>
    <w:sig w:usb0="00000287" w:usb1="080F0000" w:usb2="00000000" w:usb3="00000000" w:csb0="0004009F" w:csb1="DFD70000"/>
  </w:font>
  <w:font w:name="Trebuchet MS">
    <w:panose1 w:val="020B0603020202020204"/>
    <w:charset w:val="00"/>
    <w:family w:val="auto"/>
    <w:pitch w:val="default"/>
    <w:sig w:usb0="00000287" w:usb1="00000000" w:usb2="00000000" w:usb3="00000000" w:csb0="2000009F" w:csb1="00000000"/>
  </w:font>
  <w:font w:name="songti sc">
    <w:panose1 w:val="02010800040101010101"/>
    <w:charset w:val="86"/>
    <w:family w:val="auto"/>
    <w:pitch w:val="default"/>
    <w:sig w:usb0="00000001" w:usb1="080F0000" w:usb2="00000000" w:usb3="00000000" w:csb0="00040000" w:csb1="00000000"/>
  </w:font>
  <w:font w:name="pingfang tc">
    <w:panose1 w:val="020B0400000000000000"/>
    <w:charset w:val="88"/>
    <w:family w:val="auto"/>
    <w:pitch w:val="default"/>
    <w:sig w:usb0="A00002FF" w:usb1="7ACFFDFB" w:usb2="00000017" w:usb3="00000000" w:csb0="00100001" w:csb1="00000000"/>
  </w:font>
  <w:font w:name="times">
    <w:altName w:val="苹方-简"/>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Tahoma">
    <w:panose1 w:val="020B0804030504040204"/>
    <w:charset w:val="00"/>
    <w:family w:val="swiss"/>
    <w:pitch w:val="default"/>
    <w:sig w:usb0="E1002AFF" w:usb1="C000605B" w:usb2="00000029" w:usb3="00000000" w:csb0="200101FF" w:csb1="20280000"/>
  </w:font>
  <w:font w:name="Times New Roman Regular">
    <w:panose1 w:val="02020603050405020304"/>
    <w:charset w:val="00"/>
    <w:family w:val="auto"/>
    <w:pitch w:val="default"/>
    <w:sig w:usb0="E0002AEF" w:usb1="C0007841"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Arial Unicode MS">
    <w:panose1 w:val="020B0604020202020204"/>
    <w:charset w:val="86"/>
    <w:family w:val="auto"/>
    <w:pitch w:val="default"/>
    <w:sig w:usb0="FFFFFFFF" w:usb1="E9FFFFFF" w:usb2="0000003F" w:usb3="00000000" w:csb0="603F01FF" w:csb1="FFFF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3B297">
    <w:pPr>
      <w:spacing w:line="188" w:lineRule="auto"/>
      <w:ind w:left="4538"/>
      <w:rPr>
        <w:rFonts w:ascii="Times New Roman" w:hAnsi="Times New Roman" w:eastAsia="Times New Roman" w:cs="Times New Roman"/>
        <w:sz w:val="23"/>
        <w:szCs w:val="23"/>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936BE">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C8EB8"/>
    <w:multiLevelType w:val="singleLevel"/>
    <w:tmpl w:val="8FDC8EB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FFE01EE"/>
    <w:multiLevelType w:val="multilevel"/>
    <w:tmpl w:val="8FFE01EE"/>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8FFF8FA6"/>
    <w:multiLevelType w:val="singleLevel"/>
    <w:tmpl w:val="8FFF8FA6"/>
    <w:lvl w:ilvl="0" w:tentative="0">
      <w:start w:val="1"/>
      <w:numFmt w:val="bullet"/>
      <w:lvlText w:val=""/>
      <w:lvlJc w:val="left"/>
      <w:pPr>
        <w:ind w:left="420" w:hanging="420"/>
      </w:pPr>
      <w:rPr>
        <w:rFonts w:hint="default" w:ascii="Wingdings" w:hAnsi="Wingdings"/>
      </w:rPr>
    </w:lvl>
  </w:abstractNum>
  <w:abstractNum w:abstractNumId="3">
    <w:nsid w:val="9F256BA0"/>
    <w:multiLevelType w:val="singleLevel"/>
    <w:tmpl w:val="9F256BA0"/>
    <w:lvl w:ilvl="0" w:tentative="0">
      <w:start w:val="1"/>
      <w:numFmt w:val="decimal"/>
      <w:lvlText w:val="%1."/>
      <w:lvlJc w:val="left"/>
      <w:pPr>
        <w:ind w:left="425" w:hanging="425"/>
      </w:pPr>
      <w:rPr>
        <w:rFonts w:hint="default"/>
      </w:rPr>
    </w:lvl>
  </w:abstractNum>
  <w:abstractNum w:abstractNumId="4">
    <w:nsid w:val="BDEFE6A0"/>
    <w:multiLevelType w:val="singleLevel"/>
    <w:tmpl w:val="BDEFE6A0"/>
    <w:lvl w:ilvl="0" w:tentative="0">
      <w:start w:val="1"/>
      <w:numFmt w:val="bullet"/>
      <w:lvlText w:val=""/>
      <w:lvlJc w:val="left"/>
      <w:pPr>
        <w:ind w:left="420" w:hanging="420"/>
      </w:pPr>
      <w:rPr>
        <w:rFonts w:hint="default" w:ascii="Wingdings" w:hAnsi="Wingdings"/>
      </w:rPr>
    </w:lvl>
  </w:abstractNum>
  <w:abstractNum w:abstractNumId="5">
    <w:nsid w:val="BE53D31D"/>
    <w:multiLevelType w:val="singleLevel"/>
    <w:tmpl w:val="BE53D31D"/>
    <w:lvl w:ilvl="0" w:tentative="0">
      <w:start w:val="1"/>
      <w:numFmt w:val="bullet"/>
      <w:lvlText w:val=""/>
      <w:lvlJc w:val="left"/>
      <w:pPr>
        <w:ind w:left="420" w:hanging="420"/>
      </w:pPr>
      <w:rPr>
        <w:rFonts w:hint="default" w:ascii="Wingdings" w:hAnsi="Wingdings"/>
      </w:rPr>
    </w:lvl>
  </w:abstractNum>
  <w:abstractNum w:abstractNumId="6">
    <w:nsid w:val="BFFEC9CB"/>
    <w:multiLevelType w:val="singleLevel"/>
    <w:tmpl w:val="BFFEC9CB"/>
    <w:lvl w:ilvl="0" w:tentative="0">
      <w:start w:val="1"/>
      <w:numFmt w:val="bullet"/>
      <w:lvlText w:val=""/>
      <w:lvlJc w:val="left"/>
      <w:pPr>
        <w:ind w:left="420" w:hanging="420"/>
      </w:pPr>
      <w:rPr>
        <w:rFonts w:hint="default" w:ascii="Wingdings" w:hAnsi="Wingdings"/>
      </w:rPr>
    </w:lvl>
  </w:abstractNum>
  <w:abstractNum w:abstractNumId="7">
    <w:nsid w:val="C7DCC6FC"/>
    <w:multiLevelType w:val="singleLevel"/>
    <w:tmpl w:val="C7DCC6FC"/>
    <w:lvl w:ilvl="0" w:tentative="0">
      <w:start w:val="1"/>
      <w:numFmt w:val="bullet"/>
      <w:lvlText w:val=""/>
      <w:lvlJc w:val="left"/>
      <w:pPr>
        <w:ind w:left="420" w:hanging="420"/>
      </w:pPr>
      <w:rPr>
        <w:rFonts w:hint="default" w:ascii="Wingdings" w:hAnsi="Wingdings"/>
      </w:rPr>
    </w:lvl>
  </w:abstractNum>
  <w:abstractNum w:abstractNumId="8">
    <w:nsid w:val="DBEDB08B"/>
    <w:multiLevelType w:val="singleLevel"/>
    <w:tmpl w:val="DBEDB08B"/>
    <w:lvl w:ilvl="0" w:tentative="0">
      <w:start w:val="1"/>
      <w:numFmt w:val="bullet"/>
      <w:lvlText w:val=""/>
      <w:lvlJc w:val="left"/>
      <w:pPr>
        <w:ind w:left="420" w:hanging="420"/>
      </w:pPr>
      <w:rPr>
        <w:rFonts w:hint="default" w:ascii="Wingdings" w:hAnsi="Wingdings"/>
      </w:rPr>
    </w:lvl>
  </w:abstractNum>
  <w:abstractNum w:abstractNumId="9">
    <w:nsid w:val="E6ADF36C"/>
    <w:multiLevelType w:val="singleLevel"/>
    <w:tmpl w:val="E6ADF36C"/>
    <w:lvl w:ilvl="0" w:tentative="0">
      <w:start w:val="1"/>
      <w:numFmt w:val="decimal"/>
      <w:lvlText w:val="%1)"/>
      <w:lvlJc w:val="left"/>
      <w:pPr>
        <w:ind w:left="425" w:hanging="425"/>
      </w:pPr>
      <w:rPr>
        <w:rFonts w:hint="default"/>
      </w:rPr>
    </w:lvl>
  </w:abstractNum>
  <w:abstractNum w:abstractNumId="10">
    <w:nsid w:val="E7F65890"/>
    <w:multiLevelType w:val="singleLevel"/>
    <w:tmpl w:val="E7F65890"/>
    <w:lvl w:ilvl="0" w:tentative="0">
      <w:start w:val="1"/>
      <w:numFmt w:val="bullet"/>
      <w:lvlText w:val=""/>
      <w:lvlJc w:val="left"/>
      <w:pPr>
        <w:ind w:left="420" w:hanging="420"/>
      </w:pPr>
      <w:rPr>
        <w:rFonts w:hint="default" w:ascii="Wingdings" w:hAnsi="Wingdings"/>
      </w:rPr>
    </w:lvl>
  </w:abstractNum>
  <w:abstractNum w:abstractNumId="11">
    <w:nsid w:val="EF95DB3C"/>
    <w:multiLevelType w:val="singleLevel"/>
    <w:tmpl w:val="EF95DB3C"/>
    <w:lvl w:ilvl="0" w:tentative="0">
      <w:start w:val="1"/>
      <w:numFmt w:val="bullet"/>
      <w:lvlText w:val=""/>
      <w:lvlJc w:val="left"/>
      <w:pPr>
        <w:ind w:left="420" w:hanging="420"/>
      </w:pPr>
      <w:rPr>
        <w:rFonts w:hint="default" w:ascii="Wingdings" w:hAnsi="Wingdings"/>
      </w:rPr>
    </w:lvl>
  </w:abstractNum>
  <w:abstractNum w:abstractNumId="12">
    <w:nsid w:val="F4FCC0F9"/>
    <w:multiLevelType w:val="singleLevel"/>
    <w:tmpl w:val="F4FCC0F9"/>
    <w:lvl w:ilvl="0" w:tentative="0">
      <w:start w:val="1"/>
      <w:numFmt w:val="bullet"/>
      <w:lvlText w:val=""/>
      <w:lvlJc w:val="left"/>
      <w:pPr>
        <w:ind w:left="420" w:hanging="420"/>
      </w:pPr>
      <w:rPr>
        <w:rFonts w:hint="default" w:ascii="Wingdings" w:hAnsi="Wingdings"/>
      </w:rPr>
    </w:lvl>
  </w:abstractNum>
  <w:abstractNum w:abstractNumId="13">
    <w:nsid w:val="F7DE7A3B"/>
    <w:multiLevelType w:val="singleLevel"/>
    <w:tmpl w:val="F7DE7A3B"/>
    <w:lvl w:ilvl="0" w:tentative="0">
      <w:start w:val="1"/>
      <w:numFmt w:val="bullet"/>
      <w:lvlText w:val=""/>
      <w:lvlJc w:val="left"/>
      <w:pPr>
        <w:ind w:left="420" w:hanging="420"/>
      </w:pPr>
      <w:rPr>
        <w:rFonts w:hint="default" w:ascii="Wingdings" w:hAnsi="Wingdings"/>
      </w:rPr>
    </w:lvl>
  </w:abstractNum>
  <w:abstractNum w:abstractNumId="14">
    <w:nsid w:val="F972793F"/>
    <w:multiLevelType w:val="singleLevel"/>
    <w:tmpl w:val="F972793F"/>
    <w:lvl w:ilvl="0" w:tentative="0">
      <w:start w:val="1"/>
      <w:numFmt w:val="bullet"/>
      <w:lvlText w:val=""/>
      <w:lvlJc w:val="left"/>
      <w:pPr>
        <w:ind w:left="420" w:hanging="420"/>
      </w:pPr>
      <w:rPr>
        <w:rFonts w:hint="default" w:ascii="Wingdings" w:hAnsi="Wingdings"/>
      </w:rPr>
    </w:lvl>
  </w:abstractNum>
  <w:abstractNum w:abstractNumId="15">
    <w:nsid w:val="FBB587E5"/>
    <w:multiLevelType w:val="singleLevel"/>
    <w:tmpl w:val="FBB587E5"/>
    <w:lvl w:ilvl="0" w:tentative="0">
      <w:start w:val="1"/>
      <w:numFmt w:val="bullet"/>
      <w:lvlText w:val=""/>
      <w:lvlJc w:val="left"/>
      <w:pPr>
        <w:ind w:left="420" w:hanging="420"/>
      </w:pPr>
      <w:rPr>
        <w:rFonts w:hint="default" w:ascii="Wingdings" w:hAnsi="Wingdings"/>
      </w:rPr>
    </w:lvl>
  </w:abstractNum>
  <w:abstractNum w:abstractNumId="16">
    <w:nsid w:val="FEBE4774"/>
    <w:multiLevelType w:val="singleLevel"/>
    <w:tmpl w:val="FEBE4774"/>
    <w:lvl w:ilvl="0" w:tentative="0">
      <w:start w:val="1"/>
      <w:numFmt w:val="bullet"/>
      <w:lvlText w:val=""/>
      <w:lvlJc w:val="left"/>
      <w:pPr>
        <w:ind w:left="420" w:hanging="420"/>
      </w:pPr>
      <w:rPr>
        <w:rFonts w:hint="default" w:ascii="Wingdings" w:hAnsi="Wingdings"/>
      </w:rPr>
    </w:lvl>
  </w:abstractNum>
  <w:abstractNum w:abstractNumId="17">
    <w:nsid w:val="FEF8A06C"/>
    <w:multiLevelType w:val="singleLevel"/>
    <w:tmpl w:val="FEF8A06C"/>
    <w:lvl w:ilvl="0" w:tentative="0">
      <w:start w:val="1"/>
      <w:numFmt w:val="bullet"/>
      <w:lvlText w:val=""/>
      <w:lvlJc w:val="left"/>
      <w:pPr>
        <w:ind w:left="420" w:hanging="420"/>
      </w:pPr>
      <w:rPr>
        <w:rFonts w:hint="default" w:ascii="Wingdings" w:hAnsi="Wingdings"/>
      </w:rPr>
    </w:lvl>
  </w:abstractNum>
  <w:abstractNum w:abstractNumId="18">
    <w:nsid w:val="FFBE72B9"/>
    <w:multiLevelType w:val="singleLevel"/>
    <w:tmpl w:val="FFBE72B9"/>
    <w:lvl w:ilvl="0" w:tentative="0">
      <w:start w:val="1"/>
      <w:numFmt w:val="bullet"/>
      <w:lvlText w:val=""/>
      <w:lvlJc w:val="left"/>
      <w:pPr>
        <w:ind w:left="420" w:hanging="420"/>
      </w:pPr>
      <w:rPr>
        <w:rFonts w:hint="default" w:ascii="Wingdings" w:hAnsi="Wingdings"/>
      </w:rPr>
    </w:lvl>
  </w:abstractNum>
  <w:abstractNum w:abstractNumId="19">
    <w:nsid w:val="FFFEF7C3"/>
    <w:multiLevelType w:val="singleLevel"/>
    <w:tmpl w:val="FFFEF7C3"/>
    <w:lvl w:ilvl="0" w:tentative="0">
      <w:start w:val="1"/>
      <w:numFmt w:val="bullet"/>
      <w:lvlText w:val=""/>
      <w:lvlJc w:val="left"/>
      <w:pPr>
        <w:ind w:left="420" w:hanging="420"/>
      </w:pPr>
      <w:rPr>
        <w:rFonts w:hint="default" w:ascii="Wingdings" w:hAnsi="Wingdings"/>
      </w:rPr>
    </w:lvl>
  </w:abstractNum>
  <w:abstractNum w:abstractNumId="20">
    <w:nsid w:val="1FEDC379"/>
    <w:multiLevelType w:val="singleLevel"/>
    <w:tmpl w:val="1FEDC379"/>
    <w:lvl w:ilvl="0" w:tentative="0">
      <w:start w:val="1"/>
      <w:numFmt w:val="bullet"/>
      <w:lvlText w:val=""/>
      <w:lvlJc w:val="left"/>
      <w:pPr>
        <w:ind w:left="420" w:hanging="420"/>
      </w:pPr>
      <w:rPr>
        <w:rFonts w:hint="default" w:ascii="Wingdings" w:hAnsi="Wingdings"/>
      </w:rPr>
    </w:lvl>
  </w:abstractNum>
  <w:abstractNum w:abstractNumId="21">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22">
    <w:nsid w:val="7FBEC080"/>
    <w:multiLevelType w:val="multilevel"/>
    <w:tmpl w:val="7FBEC080"/>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1"/>
  </w:num>
  <w:num w:numId="2">
    <w:abstractNumId w:val="8"/>
  </w:num>
  <w:num w:numId="3">
    <w:abstractNumId w:val="0"/>
  </w:num>
  <w:num w:numId="4">
    <w:abstractNumId w:val="1"/>
  </w:num>
  <w:num w:numId="5">
    <w:abstractNumId w:val="17"/>
  </w:num>
  <w:num w:numId="6">
    <w:abstractNumId w:val="19"/>
  </w:num>
  <w:num w:numId="7">
    <w:abstractNumId w:val="5"/>
  </w:num>
  <w:num w:numId="8">
    <w:abstractNumId w:val="22"/>
  </w:num>
  <w:num w:numId="9">
    <w:abstractNumId w:val="10"/>
  </w:num>
  <w:num w:numId="10">
    <w:abstractNumId w:val="13"/>
  </w:num>
  <w:num w:numId="11">
    <w:abstractNumId w:val="4"/>
  </w:num>
  <w:num w:numId="12">
    <w:abstractNumId w:val="20"/>
  </w:num>
  <w:num w:numId="13">
    <w:abstractNumId w:val="14"/>
  </w:num>
  <w:num w:numId="14">
    <w:abstractNumId w:val="7"/>
  </w:num>
  <w:num w:numId="15">
    <w:abstractNumId w:val="6"/>
  </w:num>
  <w:num w:numId="16">
    <w:abstractNumId w:val="15"/>
  </w:num>
  <w:num w:numId="17">
    <w:abstractNumId w:val="2"/>
  </w:num>
  <w:num w:numId="18">
    <w:abstractNumId w:val="12"/>
  </w:num>
  <w:num w:numId="19">
    <w:abstractNumId w:val="18"/>
  </w:num>
  <w:num w:numId="20">
    <w:abstractNumId w:val="16"/>
  </w:num>
  <w:num w:numId="21">
    <w:abstractNumId w:val="11"/>
  </w:num>
  <w:num w:numId="22">
    <w:abstractNumId w:val="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3"/>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AF5C7426"/>
    <w:rsid w:val="0A3E2C0F"/>
    <w:rsid w:val="0BDF17F9"/>
    <w:rsid w:val="2FFC65B4"/>
    <w:rsid w:val="3FAEAE64"/>
    <w:rsid w:val="3FFE8B6F"/>
    <w:rsid w:val="43BF0B0C"/>
    <w:rsid w:val="57D776AF"/>
    <w:rsid w:val="5E7F3CF1"/>
    <w:rsid w:val="5F8F05DD"/>
    <w:rsid w:val="5FA584CE"/>
    <w:rsid w:val="5FDDEB39"/>
    <w:rsid w:val="61BF780C"/>
    <w:rsid w:val="63FF2BFE"/>
    <w:rsid w:val="6DBFF11C"/>
    <w:rsid w:val="6DFFD530"/>
    <w:rsid w:val="6FFAEE54"/>
    <w:rsid w:val="73F5DA46"/>
    <w:rsid w:val="76AE77D1"/>
    <w:rsid w:val="76FA1FA2"/>
    <w:rsid w:val="79FFD0D7"/>
    <w:rsid w:val="7A3FFE40"/>
    <w:rsid w:val="7BBF4025"/>
    <w:rsid w:val="7DBD4AC2"/>
    <w:rsid w:val="7DCD7F77"/>
    <w:rsid w:val="7DEF1757"/>
    <w:rsid w:val="7DFF2DEC"/>
    <w:rsid w:val="7F7F13E8"/>
    <w:rsid w:val="7F7F3D30"/>
    <w:rsid w:val="7F7F8BAE"/>
    <w:rsid w:val="7FB73479"/>
    <w:rsid w:val="7FFE5BF8"/>
    <w:rsid w:val="9EF72AFF"/>
    <w:rsid w:val="AF5C7426"/>
    <w:rsid w:val="B7DF77FD"/>
    <w:rsid w:val="B9F7A7E8"/>
    <w:rsid w:val="BCF5C042"/>
    <w:rsid w:val="BDFF08EF"/>
    <w:rsid w:val="BE7FAB94"/>
    <w:rsid w:val="C7DFD253"/>
    <w:rsid w:val="CB1956A2"/>
    <w:rsid w:val="CDD70198"/>
    <w:rsid w:val="D7FAD403"/>
    <w:rsid w:val="DEDF04A3"/>
    <w:rsid w:val="E1FF888D"/>
    <w:rsid w:val="E6F1708B"/>
    <w:rsid w:val="E9DFBB0B"/>
    <w:rsid w:val="EFB1F19E"/>
    <w:rsid w:val="EFFB282E"/>
    <w:rsid w:val="F0EF61B8"/>
    <w:rsid w:val="F2790E9D"/>
    <w:rsid w:val="FABF3F8E"/>
    <w:rsid w:val="FB77D3C2"/>
    <w:rsid w:val="FBF768C9"/>
    <w:rsid w:val="FBFFD95B"/>
    <w:rsid w:val="FC7E9EB5"/>
    <w:rsid w:val="FECF837D"/>
    <w:rsid w:val="FF7B1AF4"/>
    <w:rsid w:val="FFB912E9"/>
    <w:rsid w:val="FFBCFDF6"/>
    <w:rsid w:val="FFC382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Web)"/>
    <w:basedOn w:val="1"/>
    <w:qFormat/>
    <w:uiPriority w:val="0"/>
    <w:pPr>
      <w:keepNext w:val="0"/>
      <w:keepLines w:val="0"/>
      <w:widowControl/>
      <w:suppressLineNumbers w:val="0"/>
      <w:spacing w:before="0" w:beforeAutospacing="1" w:after="0" w:afterAutospacing="1"/>
      <w:jc w:val="left"/>
    </w:pPr>
    <w:rPr>
      <w:rFonts w:hint="eastAsia" w:ascii="宋体" w:hAnsi="宋体" w:eastAsia="宋体" w:cs="宋体"/>
      <w:kern w:val="0"/>
      <w:sz w:val="24"/>
      <w:szCs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unhideWhenUsed/>
    <w:qFormat/>
    <w:uiPriority w:val="99"/>
    <w:rPr>
      <w:color w:val="0000FF"/>
      <w:u w:val="single"/>
    </w:rPr>
  </w:style>
  <w:style w:type="character" w:customStyle="1" w:styleId="9">
    <w:name w:val="s16"/>
    <w:basedOn w:val="6"/>
    <w:qFormat/>
    <w:uiPriority w:val="0"/>
    <w:rPr>
      <w:rFonts w:ascii="songti tc" w:hAnsi="songti tc" w:eastAsia="songti tc" w:cs="songti tc"/>
      <w:sz w:val="21"/>
      <w:szCs w:val="21"/>
    </w:rPr>
  </w:style>
  <w:style w:type="paragraph" w:customStyle="1" w:styleId="10">
    <w:name w:val="p30"/>
    <w:basedOn w:val="1"/>
    <w:qFormat/>
    <w:uiPriority w:val="0"/>
    <w:pPr>
      <w:spacing w:before="0" w:beforeAutospacing="0" w:after="240" w:afterAutospacing="0" w:line="340" w:lineRule="atLeast"/>
      <w:ind w:left="0" w:right="0"/>
      <w:jc w:val="left"/>
    </w:pPr>
    <w:rPr>
      <w:rFonts w:ascii="Times New Roman" w:hAnsi="Times New Roman" w:cs="Times New Roman"/>
      <w:color w:val="000000"/>
      <w:kern w:val="0"/>
      <w:sz w:val="21"/>
      <w:szCs w:val="21"/>
      <w:lang w:val="en-US" w:eastAsia="zh-CN" w:bidi="ar"/>
    </w:rPr>
  </w:style>
  <w:style w:type="character" w:customStyle="1" w:styleId="11">
    <w:name w:val="s12"/>
    <w:basedOn w:val="6"/>
    <w:qFormat/>
    <w:uiPriority w:val="0"/>
    <w:rPr>
      <w:shd w:val="clear" w:fill="FFFF0B"/>
    </w:rPr>
  </w:style>
  <w:style w:type="paragraph" w:customStyle="1" w:styleId="12">
    <w:name w:val="p1"/>
    <w:basedOn w:val="1"/>
    <w:qFormat/>
    <w:uiPriority w:val="0"/>
    <w:pPr>
      <w:spacing w:before="0" w:beforeAutospacing="0" w:after="0" w:afterAutospacing="0"/>
      <w:ind w:left="0" w:right="0"/>
      <w:jc w:val="right"/>
    </w:pPr>
    <w:rPr>
      <w:rFonts w:ascii="Trebuchet MS" w:hAnsi="Trebuchet MS" w:cs="Trebuchet MS"/>
      <w:color w:val="000000"/>
      <w:kern w:val="0"/>
      <w:sz w:val="32"/>
      <w:szCs w:val="32"/>
      <w:lang w:val="en-US" w:eastAsia="zh-CN" w:bidi="ar"/>
    </w:rPr>
  </w:style>
  <w:style w:type="character" w:customStyle="1" w:styleId="13">
    <w:name w:val="s15"/>
    <w:basedOn w:val="6"/>
    <w:qFormat/>
    <w:uiPriority w:val="0"/>
    <w:rPr>
      <w:spacing w:val="0"/>
    </w:rPr>
  </w:style>
  <w:style w:type="character" w:customStyle="1" w:styleId="14">
    <w:name w:val="s5"/>
    <w:basedOn w:val="6"/>
    <w:qFormat/>
    <w:uiPriority w:val="0"/>
    <w:rPr>
      <w:rFonts w:ascii="songti sc" w:hAnsi="songti sc" w:eastAsia="songti sc" w:cs="songti sc"/>
      <w:sz w:val="21"/>
      <w:szCs w:val="21"/>
    </w:rPr>
  </w:style>
  <w:style w:type="paragraph" w:customStyle="1" w:styleId="15">
    <w:name w:val="p28"/>
    <w:basedOn w:val="1"/>
    <w:qFormat/>
    <w:uiPriority w:val="0"/>
    <w:pPr>
      <w:spacing w:before="0" w:beforeAutospacing="0" w:after="0" w:afterAutospacing="0"/>
      <w:ind w:left="154" w:right="0" w:firstLine="514"/>
      <w:jc w:val="left"/>
    </w:pPr>
    <w:rPr>
      <w:rFonts w:hint="default" w:ascii="Times New Roman" w:hAnsi="Times New Roman" w:cs="Times New Roman"/>
      <w:color w:val="000000"/>
      <w:kern w:val="0"/>
      <w:sz w:val="21"/>
      <w:szCs w:val="21"/>
      <w:lang w:val="en-US" w:eastAsia="zh-CN" w:bidi="ar"/>
    </w:rPr>
  </w:style>
  <w:style w:type="character" w:customStyle="1" w:styleId="16">
    <w:name w:val="s3"/>
    <w:basedOn w:val="6"/>
    <w:qFormat/>
    <w:uiPriority w:val="0"/>
    <w:rPr>
      <w:rFonts w:ascii="pingfang tc" w:hAnsi="pingfang tc" w:eastAsia="pingfang tc" w:cs="pingfang tc"/>
      <w:sz w:val="21"/>
      <w:szCs w:val="21"/>
    </w:rPr>
  </w:style>
  <w:style w:type="paragraph" w:customStyle="1" w:styleId="17">
    <w:name w:val="p29"/>
    <w:basedOn w:val="1"/>
    <w:qFormat/>
    <w:uiPriority w:val="0"/>
    <w:pPr>
      <w:spacing w:before="0" w:beforeAutospacing="0" w:after="0" w:afterAutospacing="0"/>
      <w:ind w:left="0" w:right="0" w:firstLine="420"/>
      <w:jc w:val="left"/>
    </w:pPr>
    <w:rPr>
      <w:rFonts w:hint="default" w:ascii="Times New Roman" w:hAnsi="Times New Roman" w:cs="Times New Roman"/>
      <w:color w:val="000000"/>
      <w:kern w:val="0"/>
      <w:sz w:val="21"/>
      <w:szCs w:val="21"/>
      <w:lang w:val="en-US" w:eastAsia="zh-CN" w:bidi="ar"/>
    </w:rPr>
  </w:style>
  <w:style w:type="character" w:customStyle="1" w:styleId="18">
    <w:name w:val="s2"/>
    <w:basedOn w:val="6"/>
    <w:qFormat/>
    <w:uiPriority w:val="0"/>
    <w:rPr>
      <w:rFonts w:hint="default" w:ascii="Times New Roman" w:hAnsi="Times New Roman" w:cs="Times New Roman"/>
      <w:sz w:val="32"/>
      <w:szCs w:val="32"/>
    </w:rPr>
  </w:style>
  <w:style w:type="paragraph" w:customStyle="1" w:styleId="19">
    <w:name w:val="p23"/>
    <w:basedOn w:val="1"/>
    <w:qFormat/>
    <w:uiPriority w:val="0"/>
    <w:pPr>
      <w:spacing w:before="0" w:beforeAutospacing="0" w:after="0" w:afterAutospacing="0" w:line="252" w:lineRule="atLeast"/>
      <w:ind w:left="378" w:right="0"/>
      <w:jc w:val="left"/>
    </w:pPr>
    <w:rPr>
      <w:rFonts w:hint="default" w:ascii="Times New Roman" w:hAnsi="Times New Roman" w:cs="Times New Roman"/>
      <w:color w:val="000000"/>
      <w:kern w:val="0"/>
      <w:sz w:val="21"/>
      <w:szCs w:val="21"/>
      <w:lang w:val="en-US" w:eastAsia="zh-CN" w:bidi="ar"/>
    </w:rPr>
  </w:style>
  <w:style w:type="paragraph" w:customStyle="1" w:styleId="20">
    <w:name w:val="p32"/>
    <w:basedOn w:val="1"/>
    <w:qFormat/>
    <w:uiPriority w:val="0"/>
    <w:pPr>
      <w:spacing w:before="0" w:beforeAutospacing="0" w:after="0" w:afterAutospacing="0"/>
      <w:ind w:left="0" w:right="0"/>
      <w:jc w:val="both"/>
    </w:pPr>
    <w:rPr>
      <w:rFonts w:hint="default" w:ascii="Trebuchet MS" w:hAnsi="Trebuchet MS" w:cs="Trebuchet MS"/>
      <w:color w:val="000000"/>
      <w:kern w:val="0"/>
      <w:sz w:val="22"/>
      <w:szCs w:val="22"/>
      <w:lang w:val="en-US" w:eastAsia="zh-CN" w:bidi="ar"/>
    </w:rPr>
  </w:style>
  <w:style w:type="paragraph" w:customStyle="1" w:styleId="21">
    <w:name w:val="p27"/>
    <w:basedOn w:val="1"/>
    <w:qFormat/>
    <w:uiPriority w:val="0"/>
    <w:pPr>
      <w:spacing w:before="0" w:beforeAutospacing="0" w:after="0" w:afterAutospacing="0"/>
      <w:ind w:left="150" w:right="0" w:firstLine="514"/>
      <w:jc w:val="left"/>
    </w:pPr>
    <w:rPr>
      <w:rFonts w:hint="default" w:ascii="Times New Roman" w:hAnsi="Times New Roman" w:cs="Times New Roman"/>
      <w:color w:val="000000"/>
      <w:kern w:val="0"/>
      <w:sz w:val="21"/>
      <w:szCs w:val="21"/>
      <w:lang w:val="en-US" w:eastAsia="zh-CN" w:bidi="ar"/>
    </w:rPr>
  </w:style>
  <w:style w:type="paragraph" w:customStyle="1" w:styleId="22">
    <w:name w:val="p24"/>
    <w:basedOn w:val="1"/>
    <w:qFormat/>
    <w:uiPriority w:val="0"/>
    <w:pPr>
      <w:spacing w:before="0" w:beforeAutospacing="0" w:after="0" w:afterAutospacing="0" w:line="252" w:lineRule="atLeast"/>
      <w:ind w:left="442" w:right="0"/>
      <w:jc w:val="left"/>
    </w:pPr>
    <w:rPr>
      <w:rFonts w:hint="default" w:ascii="Times New Roman" w:hAnsi="Times New Roman" w:cs="Times New Roman"/>
      <w:color w:val="000000"/>
      <w:kern w:val="0"/>
      <w:sz w:val="21"/>
      <w:szCs w:val="21"/>
      <w:lang w:val="en-US" w:eastAsia="zh-CN" w:bidi="ar"/>
    </w:rPr>
  </w:style>
  <w:style w:type="character" w:customStyle="1" w:styleId="23">
    <w:name w:val="s17"/>
    <w:basedOn w:val="6"/>
    <w:qFormat/>
    <w:uiPriority w:val="0"/>
    <w:rPr>
      <w:rFonts w:ascii="times" w:hAnsi="times" w:eastAsia="times" w:cs="times"/>
      <w:sz w:val="21"/>
      <w:szCs w:val="21"/>
      <w:shd w:val="clear" w:fill="FFFF0B"/>
    </w:rPr>
  </w:style>
  <w:style w:type="paragraph" w:customStyle="1" w:styleId="24">
    <w:name w:val="p22"/>
    <w:basedOn w:val="1"/>
    <w:qFormat/>
    <w:uiPriority w:val="0"/>
    <w:pPr>
      <w:spacing w:before="0" w:beforeAutospacing="0" w:after="0" w:afterAutospacing="0"/>
      <w:ind w:left="28" w:right="0"/>
      <w:jc w:val="center"/>
    </w:pPr>
    <w:rPr>
      <w:rFonts w:hint="default" w:ascii="Times New Roman" w:hAnsi="Times New Roman" w:cs="Times New Roman"/>
      <w:color w:val="252E36"/>
      <w:kern w:val="0"/>
      <w:sz w:val="21"/>
      <w:szCs w:val="21"/>
      <w:lang w:val="en-US" w:eastAsia="zh-CN" w:bidi="ar"/>
    </w:rPr>
  </w:style>
  <w:style w:type="paragraph" w:customStyle="1" w:styleId="25">
    <w:name w:val="p25"/>
    <w:basedOn w:val="1"/>
    <w:qFormat/>
    <w:uiPriority w:val="0"/>
    <w:pPr>
      <w:spacing w:before="0" w:beforeAutospacing="0" w:after="0" w:afterAutospacing="0"/>
      <w:ind w:left="156" w:right="0" w:firstLine="512"/>
      <w:jc w:val="left"/>
    </w:pPr>
    <w:rPr>
      <w:rFonts w:hint="default" w:ascii="Times New Roman" w:hAnsi="Times New Roman" w:cs="Times New Roman"/>
      <w:color w:val="000000"/>
      <w:kern w:val="0"/>
      <w:sz w:val="21"/>
      <w:szCs w:val="21"/>
      <w:lang w:val="en-US" w:eastAsia="zh-CN" w:bidi="ar"/>
    </w:rPr>
  </w:style>
  <w:style w:type="paragraph" w:customStyle="1" w:styleId="26">
    <w:name w:val="p19"/>
    <w:basedOn w:val="1"/>
    <w:qFormat/>
    <w:uiPriority w:val="0"/>
    <w:pPr>
      <w:spacing w:before="0" w:beforeAutospacing="0" w:after="0" w:afterAutospacing="0"/>
      <w:ind w:left="50" w:right="0"/>
      <w:jc w:val="center"/>
    </w:pPr>
    <w:rPr>
      <w:rFonts w:hint="default" w:ascii="Times New Roman" w:hAnsi="Times New Roman" w:cs="Times New Roman"/>
      <w:color w:val="252E36"/>
      <w:kern w:val="0"/>
      <w:sz w:val="21"/>
      <w:szCs w:val="21"/>
      <w:lang w:val="en-US" w:eastAsia="zh-CN" w:bidi="ar"/>
    </w:rPr>
  </w:style>
  <w:style w:type="paragraph" w:customStyle="1" w:styleId="27">
    <w:name w:val="p17"/>
    <w:basedOn w:val="1"/>
    <w:qFormat/>
    <w:uiPriority w:val="0"/>
    <w:pPr>
      <w:spacing w:before="0" w:beforeAutospacing="0" w:after="0" w:afterAutospacing="0"/>
      <w:ind w:left="0" w:right="0" w:firstLine="420"/>
      <w:jc w:val="left"/>
    </w:pPr>
    <w:rPr>
      <w:rFonts w:hint="default" w:ascii="Trebuchet MS" w:hAnsi="Trebuchet MS" w:cs="Trebuchet MS"/>
      <w:color w:val="000000"/>
      <w:kern w:val="0"/>
      <w:sz w:val="21"/>
      <w:szCs w:val="21"/>
      <w:lang w:val="en-US" w:eastAsia="zh-CN" w:bidi="ar"/>
    </w:rPr>
  </w:style>
  <w:style w:type="paragraph" w:customStyle="1" w:styleId="28">
    <w:name w:val="p33"/>
    <w:basedOn w:val="1"/>
    <w:qFormat/>
    <w:uiPriority w:val="0"/>
    <w:pPr>
      <w:spacing w:before="0" w:beforeAutospacing="0" w:after="0" w:afterAutospacing="0"/>
      <w:ind w:left="0" w:right="0"/>
      <w:jc w:val="both"/>
    </w:pPr>
    <w:rPr>
      <w:rFonts w:hint="default" w:ascii="Times New Roman" w:hAnsi="Times New Roman" w:cs="Times New Roman"/>
      <w:color w:val="000000"/>
      <w:kern w:val="0"/>
      <w:sz w:val="21"/>
      <w:szCs w:val="21"/>
      <w:lang w:val="en-US" w:eastAsia="zh-CN" w:bidi="ar"/>
    </w:rPr>
  </w:style>
  <w:style w:type="character" w:customStyle="1" w:styleId="29">
    <w:name w:val="s8"/>
    <w:basedOn w:val="6"/>
    <w:qFormat/>
    <w:uiPriority w:val="0"/>
    <w:rPr>
      <w:rFonts w:hint="default" w:ascii="Times New Roman" w:hAnsi="Times New Roman" w:cs="Times New Roman"/>
      <w:sz w:val="21"/>
      <w:szCs w:val="21"/>
    </w:rPr>
  </w:style>
  <w:style w:type="paragraph" w:customStyle="1" w:styleId="30">
    <w:name w:val="p13"/>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paragraph" w:customStyle="1" w:styleId="31">
    <w:name w:val="p12"/>
    <w:basedOn w:val="1"/>
    <w:qFormat/>
    <w:uiPriority w:val="0"/>
    <w:pPr>
      <w:spacing w:before="0" w:beforeAutospacing="0" w:after="0" w:afterAutospacing="0"/>
      <w:ind w:left="0" w:right="0"/>
      <w:jc w:val="both"/>
    </w:pPr>
    <w:rPr>
      <w:rFonts w:hint="eastAsia" w:ascii="songti tc" w:hAnsi="songti tc" w:eastAsia="songti tc" w:cs="songti tc"/>
      <w:color w:val="000000"/>
      <w:kern w:val="0"/>
      <w:sz w:val="21"/>
      <w:szCs w:val="21"/>
      <w:lang w:val="en-US" w:eastAsia="zh-CN" w:bidi="ar"/>
    </w:rPr>
  </w:style>
  <w:style w:type="character" w:customStyle="1" w:styleId="32">
    <w:name w:val="s7"/>
    <w:basedOn w:val="6"/>
    <w:qFormat/>
    <w:uiPriority w:val="0"/>
    <w:rPr>
      <w:rFonts w:ascii="Wingdings" w:hAnsi="Wingdings" w:eastAsia="Wingdings" w:cs="Wingdings"/>
      <w:sz w:val="21"/>
      <w:szCs w:val="21"/>
    </w:rPr>
  </w:style>
  <w:style w:type="character" w:customStyle="1" w:styleId="33">
    <w:name w:val="s10"/>
    <w:basedOn w:val="6"/>
    <w:qFormat/>
    <w:uiPriority w:val="0"/>
    <w:rPr>
      <w:rFonts w:hint="eastAsia" w:ascii="songti tc" w:hAnsi="songti tc" w:eastAsia="songti tc" w:cs="songti tc"/>
      <w:sz w:val="21"/>
      <w:szCs w:val="21"/>
      <w:shd w:val="clear" w:fill="FFFF0B"/>
    </w:rPr>
  </w:style>
  <w:style w:type="paragraph" w:customStyle="1" w:styleId="34">
    <w:name w:val="p7"/>
    <w:basedOn w:val="1"/>
    <w:qFormat/>
    <w:uiPriority w:val="0"/>
    <w:pPr>
      <w:spacing w:before="0" w:beforeAutospacing="0" w:after="0" w:afterAutospacing="0"/>
      <w:ind w:left="0" w:right="0"/>
      <w:jc w:val="left"/>
    </w:pPr>
    <w:rPr>
      <w:rFonts w:hint="default" w:ascii="Times New Roman" w:hAnsi="Times New Roman" w:cs="Times New Roman"/>
      <w:color w:val="000000"/>
      <w:kern w:val="0"/>
      <w:sz w:val="21"/>
      <w:szCs w:val="21"/>
      <w:lang w:val="en-US" w:eastAsia="zh-CN" w:bidi="ar"/>
    </w:rPr>
  </w:style>
  <w:style w:type="paragraph" w:customStyle="1" w:styleId="35">
    <w:name w:val="p9"/>
    <w:basedOn w:val="1"/>
    <w:qFormat/>
    <w:uiPriority w:val="0"/>
    <w:pPr>
      <w:shd w:val="clear" w:fill="B3B3B3"/>
      <w:spacing w:before="0" w:beforeAutospacing="0" w:after="0" w:afterAutospacing="0"/>
      <w:ind w:left="510" w:right="0"/>
      <w:jc w:val="left"/>
    </w:pPr>
    <w:rPr>
      <w:rFonts w:hint="default" w:ascii="Trebuchet MS" w:hAnsi="Trebuchet MS" w:cs="Trebuchet MS"/>
      <w:color w:val="000000"/>
      <w:kern w:val="0"/>
      <w:sz w:val="21"/>
      <w:szCs w:val="21"/>
      <w:lang w:val="en-US" w:eastAsia="zh-CN" w:bidi="ar"/>
    </w:rPr>
  </w:style>
  <w:style w:type="character" w:customStyle="1" w:styleId="36">
    <w:name w:val="s11"/>
    <w:basedOn w:val="6"/>
    <w:qFormat/>
    <w:uiPriority w:val="0"/>
    <w:rPr>
      <w:rFonts w:hint="default" w:ascii="Times New Roman" w:hAnsi="Times New Roman" w:cs="Times New Roman"/>
      <w:sz w:val="21"/>
      <w:szCs w:val="21"/>
      <w:shd w:val="clear" w:fill="FFFF0B"/>
    </w:rPr>
  </w:style>
  <w:style w:type="paragraph" w:customStyle="1" w:styleId="37">
    <w:name w:val="p5"/>
    <w:basedOn w:val="1"/>
    <w:qFormat/>
    <w:uiPriority w:val="0"/>
    <w:pPr>
      <w:spacing w:before="0" w:beforeAutospacing="0" w:after="0" w:afterAutospacing="0"/>
      <w:ind w:left="0" w:right="0"/>
      <w:jc w:val="left"/>
    </w:pPr>
    <w:rPr>
      <w:rFonts w:hint="eastAsia" w:ascii="songti tc" w:hAnsi="songti tc" w:eastAsia="songti tc" w:cs="songti tc"/>
      <w:color w:val="000000"/>
      <w:kern w:val="0"/>
      <w:sz w:val="21"/>
      <w:szCs w:val="21"/>
      <w:lang w:val="en-US" w:eastAsia="zh-CN" w:bidi="ar"/>
    </w:rPr>
  </w:style>
  <w:style w:type="paragraph" w:customStyle="1" w:styleId="38">
    <w:name w:val="p21"/>
    <w:basedOn w:val="1"/>
    <w:qFormat/>
    <w:uiPriority w:val="0"/>
    <w:pPr>
      <w:spacing w:before="0" w:beforeAutospacing="0" w:after="0" w:afterAutospacing="0"/>
      <w:ind w:left="42" w:right="0"/>
      <w:jc w:val="center"/>
    </w:pPr>
    <w:rPr>
      <w:rFonts w:hint="default" w:ascii="Times New Roman" w:hAnsi="Times New Roman" w:cs="Times New Roman"/>
      <w:color w:val="252E36"/>
      <w:kern w:val="0"/>
      <w:sz w:val="21"/>
      <w:szCs w:val="21"/>
      <w:lang w:val="en-US" w:eastAsia="zh-CN" w:bidi="ar"/>
    </w:rPr>
  </w:style>
  <w:style w:type="paragraph" w:customStyle="1" w:styleId="39">
    <w:name w:val="p6"/>
    <w:basedOn w:val="1"/>
    <w:qFormat/>
    <w:uiPriority w:val="0"/>
    <w:pPr>
      <w:spacing w:before="0" w:beforeAutospacing="0" w:after="0" w:afterAutospacing="0"/>
      <w:ind w:left="0" w:right="0" w:firstLine="420"/>
      <w:jc w:val="left"/>
    </w:pPr>
    <w:rPr>
      <w:rFonts w:hint="eastAsia" w:ascii="songti tc" w:hAnsi="songti tc" w:eastAsia="songti tc" w:cs="songti tc"/>
      <w:color w:val="000000"/>
      <w:kern w:val="0"/>
      <w:sz w:val="21"/>
      <w:szCs w:val="21"/>
      <w:lang w:val="en-US" w:eastAsia="zh-CN" w:bidi="ar"/>
    </w:rPr>
  </w:style>
  <w:style w:type="character" w:customStyle="1" w:styleId="40">
    <w:name w:val="s4"/>
    <w:basedOn w:val="6"/>
    <w:qFormat/>
    <w:uiPriority w:val="0"/>
    <w:rPr>
      <w:rFonts w:hint="default" w:ascii="Trebuchet MS" w:hAnsi="Trebuchet MS" w:cs="Trebuchet MS"/>
      <w:sz w:val="21"/>
      <w:szCs w:val="21"/>
    </w:rPr>
  </w:style>
  <w:style w:type="paragraph" w:customStyle="1" w:styleId="41">
    <w:name w:val="p31"/>
    <w:basedOn w:val="1"/>
    <w:qFormat/>
    <w:uiPriority w:val="0"/>
    <w:pPr>
      <w:spacing w:before="0" w:beforeAutospacing="0" w:after="240" w:afterAutospacing="0" w:line="340" w:lineRule="atLeast"/>
      <w:ind w:left="0" w:right="0"/>
      <w:jc w:val="left"/>
    </w:pPr>
    <w:rPr>
      <w:rFonts w:hint="eastAsia" w:ascii="songti tc" w:hAnsi="songti tc" w:eastAsia="songti tc" w:cs="songti tc"/>
      <w:color w:val="000000"/>
      <w:kern w:val="0"/>
      <w:sz w:val="21"/>
      <w:szCs w:val="21"/>
      <w:lang w:val="en-US" w:eastAsia="zh-CN" w:bidi="ar"/>
    </w:rPr>
  </w:style>
  <w:style w:type="character" w:customStyle="1" w:styleId="42">
    <w:name w:val="s13"/>
    <w:basedOn w:val="6"/>
    <w:qFormat/>
    <w:uiPriority w:val="0"/>
    <w:rPr>
      <w:rFonts w:hint="eastAsia" w:ascii="songti sc" w:hAnsi="songti sc" w:eastAsia="songti sc" w:cs="songti sc"/>
      <w:sz w:val="21"/>
      <w:szCs w:val="21"/>
      <w:shd w:val="clear" w:fill="FFFF0B"/>
    </w:rPr>
  </w:style>
  <w:style w:type="paragraph" w:customStyle="1" w:styleId="43">
    <w:name w:val="p10"/>
    <w:basedOn w:val="1"/>
    <w:qFormat/>
    <w:uiPriority w:val="0"/>
    <w:pPr>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44">
    <w:name w:val="p16"/>
    <w:basedOn w:val="1"/>
    <w:qFormat/>
    <w:uiPriority w:val="0"/>
    <w:pPr>
      <w:spacing w:before="0" w:beforeAutospacing="0" w:after="0" w:afterAutospacing="0"/>
      <w:ind w:left="0" w:right="0" w:firstLine="420"/>
      <w:jc w:val="both"/>
    </w:pPr>
    <w:rPr>
      <w:rFonts w:hint="eastAsia" w:ascii="songti tc" w:hAnsi="songti tc" w:eastAsia="songti tc" w:cs="songti tc"/>
      <w:color w:val="000000"/>
      <w:kern w:val="0"/>
      <w:sz w:val="21"/>
      <w:szCs w:val="21"/>
      <w:lang w:val="en-US" w:eastAsia="zh-CN" w:bidi="ar"/>
    </w:rPr>
  </w:style>
  <w:style w:type="paragraph" w:customStyle="1" w:styleId="45">
    <w:name w:val="p14"/>
    <w:basedOn w:val="1"/>
    <w:qFormat/>
    <w:uiPriority w:val="0"/>
    <w:pPr>
      <w:spacing w:before="0" w:beforeAutospacing="0" w:after="0" w:afterAutospacing="0"/>
      <w:ind w:left="0" w:right="0"/>
      <w:jc w:val="both"/>
    </w:pPr>
    <w:rPr>
      <w:rFonts w:hint="default" w:ascii="Trebuchet MS" w:hAnsi="Trebuchet MS" w:cs="Trebuchet MS"/>
      <w:color w:val="000000"/>
      <w:kern w:val="0"/>
      <w:sz w:val="21"/>
      <w:szCs w:val="21"/>
      <w:lang w:val="en-US" w:eastAsia="zh-CN" w:bidi="ar"/>
    </w:rPr>
  </w:style>
  <w:style w:type="character" w:customStyle="1" w:styleId="46">
    <w:name w:val="s14"/>
    <w:basedOn w:val="6"/>
    <w:qFormat/>
    <w:uiPriority w:val="0"/>
    <w:rPr>
      <w:u w:val="single"/>
    </w:rPr>
  </w:style>
  <w:style w:type="character" w:customStyle="1" w:styleId="47">
    <w:name w:val="s9"/>
    <w:basedOn w:val="6"/>
    <w:qFormat/>
    <w:uiPriority w:val="0"/>
    <w:rPr>
      <w:rFonts w:ascii="pingfang sc" w:hAnsi="pingfang sc" w:eastAsia="pingfang sc" w:cs="pingfang sc"/>
      <w:sz w:val="21"/>
      <w:szCs w:val="21"/>
    </w:rPr>
  </w:style>
  <w:style w:type="paragraph" w:customStyle="1" w:styleId="48">
    <w:name w:val="p35"/>
    <w:basedOn w:val="1"/>
    <w:qFormat/>
    <w:uiPriority w:val="0"/>
    <w:pPr>
      <w:spacing w:before="0" w:beforeAutospacing="0" w:after="0" w:afterAutospacing="0"/>
      <w:ind w:left="210" w:right="0" w:firstLine="420"/>
      <w:jc w:val="left"/>
    </w:pPr>
    <w:rPr>
      <w:rFonts w:hint="default" w:ascii="times" w:hAnsi="times" w:eastAsia="times" w:cs="times"/>
      <w:color w:val="000000"/>
      <w:kern w:val="0"/>
      <w:sz w:val="21"/>
      <w:szCs w:val="21"/>
      <w:lang w:val="en-US" w:eastAsia="zh-CN" w:bidi="ar"/>
    </w:rPr>
  </w:style>
  <w:style w:type="character" w:customStyle="1" w:styleId="49">
    <w:name w:val="s18"/>
    <w:basedOn w:val="6"/>
    <w:qFormat/>
    <w:uiPriority w:val="0"/>
    <w:rPr>
      <w:rFonts w:hint="default" w:ascii="Trebuchet MS" w:hAnsi="Trebuchet MS" w:cs="Trebuchet MS"/>
      <w:sz w:val="21"/>
      <w:szCs w:val="21"/>
      <w:shd w:val="clear" w:fill="FFFF0B"/>
    </w:rPr>
  </w:style>
  <w:style w:type="paragraph" w:customStyle="1" w:styleId="50">
    <w:name w:val="p20"/>
    <w:basedOn w:val="1"/>
    <w:qFormat/>
    <w:uiPriority w:val="0"/>
    <w:pPr>
      <w:spacing w:before="0" w:beforeAutospacing="0" w:after="0" w:afterAutospacing="0"/>
      <w:ind w:left="116" w:right="0"/>
      <w:jc w:val="center"/>
    </w:pPr>
    <w:rPr>
      <w:rFonts w:hint="default" w:ascii="Times New Roman" w:hAnsi="Times New Roman" w:cs="Times New Roman"/>
      <w:color w:val="252E36"/>
      <w:kern w:val="0"/>
      <w:sz w:val="21"/>
      <w:szCs w:val="21"/>
      <w:lang w:val="en-US" w:eastAsia="zh-CN" w:bidi="ar"/>
    </w:rPr>
  </w:style>
  <w:style w:type="paragraph" w:customStyle="1" w:styleId="51">
    <w:name w:val="p15"/>
    <w:basedOn w:val="1"/>
    <w:qFormat/>
    <w:uiPriority w:val="0"/>
    <w:pPr>
      <w:shd w:val="clear" w:fill="FFFF0B"/>
      <w:spacing w:before="0" w:beforeAutospacing="0" w:after="0" w:afterAutospacing="0"/>
      <w:ind w:left="0" w:right="0"/>
      <w:jc w:val="both"/>
    </w:pPr>
    <w:rPr>
      <w:rFonts w:hint="default" w:ascii="times" w:hAnsi="times" w:eastAsia="times" w:cs="times"/>
      <w:color w:val="000000"/>
      <w:kern w:val="0"/>
      <w:sz w:val="21"/>
      <w:szCs w:val="21"/>
      <w:lang w:val="en-US" w:eastAsia="zh-CN" w:bidi="ar"/>
    </w:rPr>
  </w:style>
  <w:style w:type="character" w:customStyle="1" w:styleId="52">
    <w:name w:val="s6"/>
    <w:basedOn w:val="6"/>
    <w:qFormat/>
    <w:uiPriority w:val="0"/>
    <w:rPr>
      <w:rFonts w:hint="default" w:ascii="times" w:hAnsi="times" w:eastAsia="times" w:cs="times"/>
      <w:sz w:val="21"/>
      <w:szCs w:val="21"/>
    </w:rPr>
  </w:style>
  <w:style w:type="paragraph" w:customStyle="1" w:styleId="53">
    <w:name w:val="p26"/>
    <w:basedOn w:val="1"/>
    <w:qFormat/>
    <w:uiPriority w:val="0"/>
    <w:pPr>
      <w:spacing w:before="0" w:beforeAutospacing="0" w:after="0" w:afterAutospacing="0"/>
      <w:ind w:left="222" w:right="0" w:firstLine="514"/>
      <w:jc w:val="left"/>
    </w:pPr>
    <w:rPr>
      <w:rFonts w:hint="default" w:ascii="Times New Roman" w:hAnsi="Times New Roman" w:cs="Times New Roman"/>
      <w:color w:val="000000"/>
      <w:kern w:val="0"/>
      <w:sz w:val="21"/>
      <w:szCs w:val="21"/>
      <w:lang w:val="en-US" w:eastAsia="zh-CN" w:bidi="ar"/>
    </w:rPr>
  </w:style>
  <w:style w:type="paragraph" w:customStyle="1" w:styleId="54">
    <w:name w:val="p18"/>
    <w:basedOn w:val="1"/>
    <w:qFormat/>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character" w:customStyle="1" w:styleId="55">
    <w:name w:val="s1"/>
    <w:basedOn w:val="6"/>
    <w:qFormat/>
    <w:uiPriority w:val="0"/>
    <w:rPr>
      <w:rFonts w:hint="default" w:ascii="Trebuchet MS" w:hAnsi="Trebuchet MS" w:cs="Trebuchet MS"/>
      <w:sz w:val="32"/>
      <w:szCs w:val="32"/>
    </w:rPr>
  </w:style>
  <w:style w:type="paragraph" w:customStyle="1" w:styleId="56">
    <w:name w:val="p2"/>
    <w:basedOn w:val="1"/>
    <w:qFormat/>
    <w:uiPriority w:val="0"/>
    <w:pPr>
      <w:spacing w:before="0" w:beforeAutospacing="0" w:after="0" w:afterAutospacing="0"/>
      <w:ind w:left="0" w:right="0"/>
      <w:jc w:val="right"/>
    </w:pPr>
    <w:rPr>
      <w:rFonts w:hint="eastAsia" w:ascii="songti tc" w:hAnsi="songti tc" w:eastAsia="songti tc" w:cs="songti tc"/>
      <w:color w:val="000000"/>
      <w:kern w:val="0"/>
      <w:sz w:val="32"/>
      <w:szCs w:val="32"/>
      <w:lang w:val="en-US" w:eastAsia="zh-CN" w:bidi="ar"/>
    </w:rPr>
  </w:style>
  <w:style w:type="paragraph" w:customStyle="1" w:styleId="57">
    <w:name w:val="p3"/>
    <w:basedOn w:val="1"/>
    <w:qFormat/>
    <w:uiPriority w:val="0"/>
    <w:pPr>
      <w:spacing w:before="0" w:beforeAutospacing="0" w:after="0" w:afterAutospacing="0"/>
      <w:ind w:left="0" w:right="0"/>
      <w:jc w:val="right"/>
    </w:pPr>
    <w:rPr>
      <w:rFonts w:hint="default" w:ascii="Trebuchet MS" w:hAnsi="Trebuchet MS" w:cs="Trebuchet MS"/>
      <w:color w:val="000000"/>
      <w:kern w:val="0"/>
      <w:sz w:val="32"/>
      <w:szCs w:val="32"/>
      <w:lang w:val="en-US" w:eastAsia="zh-CN" w:bidi="ar"/>
    </w:rPr>
  </w:style>
  <w:style w:type="paragraph" w:customStyle="1" w:styleId="58">
    <w:name w:val="p11"/>
    <w:basedOn w:val="1"/>
    <w:qFormat/>
    <w:uiPriority w:val="0"/>
    <w:pPr>
      <w:spacing w:before="0" w:beforeAutospacing="0" w:after="0" w:afterAutospacing="0"/>
      <w:ind w:left="840" w:right="0"/>
      <w:jc w:val="left"/>
    </w:pPr>
    <w:rPr>
      <w:rFonts w:hint="default" w:ascii="Trebuchet MS" w:hAnsi="Trebuchet MS" w:cs="Trebuchet MS"/>
      <w:color w:val="000000"/>
      <w:kern w:val="0"/>
      <w:sz w:val="21"/>
      <w:szCs w:val="21"/>
      <w:lang w:val="en-US" w:eastAsia="zh-CN" w:bidi="ar"/>
    </w:rPr>
  </w:style>
  <w:style w:type="paragraph" w:customStyle="1" w:styleId="59">
    <w:name w:val="p8"/>
    <w:basedOn w:val="1"/>
    <w:qFormat/>
    <w:uiPriority w:val="0"/>
    <w:pPr>
      <w:shd w:val="clear" w:fill="B3B3B3"/>
      <w:spacing w:before="0" w:beforeAutospacing="0" w:after="0" w:afterAutospacing="0"/>
      <w:ind w:left="0" w:right="0"/>
      <w:jc w:val="left"/>
    </w:pPr>
    <w:rPr>
      <w:rFonts w:hint="default" w:ascii="Trebuchet MS" w:hAnsi="Trebuchet MS" w:cs="Trebuchet MS"/>
      <w:color w:val="000000"/>
      <w:kern w:val="0"/>
      <w:sz w:val="21"/>
      <w:szCs w:val="21"/>
      <w:lang w:val="en-US" w:eastAsia="zh-CN" w:bidi="ar"/>
    </w:rPr>
  </w:style>
  <w:style w:type="paragraph" w:customStyle="1" w:styleId="60">
    <w:name w:val="p4"/>
    <w:basedOn w:val="1"/>
    <w:qFormat/>
    <w:uiPriority w:val="0"/>
    <w:pPr>
      <w:spacing w:before="0" w:beforeAutospacing="0" w:after="0" w:afterAutospacing="0"/>
      <w:ind w:left="0" w:right="0"/>
      <w:jc w:val="right"/>
    </w:pPr>
    <w:rPr>
      <w:rFonts w:hint="default" w:ascii="Trebuchet MS" w:hAnsi="Trebuchet MS" w:cs="Trebuchet MS"/>
      <w:color w:val="000000"/>
      <w:kern w:val="0"/>
      <w:sz w:val="21"/>
      <w:szCs w:val="21"/>
      <w:lang w:val="en-US" w:eastAsia="zh-CN" w:bidi="ar"/>
    </w:rPr>
  </w:style>
  <w:style w:type="paragraph" w:customStyle="1" w:styleId="61">
    <w:name w:val="p34"/>
    <w:basedOn w:val="1"/>
    <w:qFormat/>
    <w:uiPriority w:val="0"/>
    <w:pPr>
      <w:spacing w:before="0" w:beforeAutospacing="0" w:after="0" w:afterAutospacing="0"/>
      <w:ind w:left="210" w:right="0" w:firstLine="420"/>
      <w:jc w:val="left"/>
    </w:pPr>
    <w:rPr>
      <w:rFonts w:ascii="times" w:hAnsi="times" w:eastAsia="times" w:cs="times"/>
      <w:color w:val="000000"/>
      <w:kern w:val="0"/>
      <w:sz w:val="21"/>
      <w:szCs w:val="21"/>
      <w:lang w:val="en-US" w:eastAsia="zh-CN" w:bidi="ar"/>
    </w:rPr>
  </w:style>
  <w:style w:type="paragraph" w:customStyle="1" w:styleId="62">
    <w:name w:val="List Paragraph"/>
    <w:basedOn w:val="1"/>
    <w:qFormat/>
    <w:uiPriority w:val="34"/>
    <w:pPr>
      <w:ind w:firstLine="420" w:firstLineChars="200"/>
    </w:pPr>
  </w:style>
  <w:style w:type="paragraph" w:customStyle="1" w:styleId="63">
    <w:name w:val="无间隔1"/>
    <w:qFormat/>
    <w:uiPriority w:val="99"/>
    <w:pPr>
      <w:adjustRightInd w:val="0"/>
      <w:snapToGrid w:val="0"/>
    </w:pPr>
    <w:rPr>
      <w:rFonts w:ascii="Tahoma" w:hAnsi="Tahoma" w:eastAsia="宋体" w:cs="Tahoma"/>
      <w:sz w:val="22"/>
      <w:szCs w:val="22"/>
      <w:lang w:val="en-US" w:eastAsia="zh-CN" w:bidi="ar-SA"/>
    </w:rPr>
  </w:style>
  <w:style w:type="paragraph" w:customStyle="1" w:styleId="64">
    <w:name w:val="列表段落1"/>
    <w:basedOn w:val="1"/>
    <w:qFormat/>
    <w:uiPriority w:val="34"/>
    <w:pPr>
      <w:ind w:firstLine="420" w:firstLineChars="200"/>
    </w:pPr>
  </w:style>
  <w:style w:type="table" w:customStyle="1" w:styleId="65">
    <w:name w:val="Table Normal1"/>
    <w:basedOn w:val="4"/>
    <w:semiHidden/>
    <w:unhideWhenUsed/>
    <w:qFormat/>
    <w:uiPriority w:val="0"/>
    <w:tblPr>
      <w:tblCellMar>
        <w:top w:w="0" w:type="dxa"/>
        <w:left w:w="0" w:type="dxa"/>
        <w:bottom w:w="0" w:type="dxa"/>
        <w:right w:w="0" w:type="dxa"/>
      </w:tblCellMar>
    </w:tblPr>
  </w:style>
  <w:style w:type="table" w:customStyle="1" w:styleId="66">
    <w:name w:val="Table Normal"/>
    <w:basedOn w:val="4"/>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table" w:customStyle="1" w:styleId="67">
    <w:name w:val="Table Grid"/>
    <w:basedOn w:val="4"/>
    <w:uiPriority w:val="0"/>
    <w:pPr>
      <w:keepNext w:val="0"/>
      <w:keepLines w:val="0"/>
      <w:widowControl/>
      <w:suppressLineNumbers w:val="0"/>
      <w:spacing w:before="0" w:beforeAutospacing="0" w:after="0" w:afterAutospacing="0"/>
      <w:ind w:left="0" w:right="0"/>
    </w:pPr>
    <w:rPr>
      <w:rFonts w:hint="default" w:ascii="Times New Roman" w:hAnsi="Times New Roman" w:cs="Calibr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2846</Words>
  <Characters>3323</Characters>
  <Lines>1</Lines>
  <Paragraphs>1</Paragraphs>
  <TotalTime>0</TotalTime>
  <ScaleCrop>false</ScaleCrop>
  <LinksUpToDate>false</LinksUpToDate>
  <CharactersWithSpaces>3388</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2021-10-14T23:34:00Z</dcterms:created>
  <dc:creator>lirui</dc:creator>
  <cp:lastModifiedBy>谭谭</cp:lastModifiedBy>
  <dcterms:modified xsi:type="dcterms:W3CDTF">2025-02-24T15:55:58Z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A0AD6A95041993740E26BC6730493455_43</vt:lpwstr>
  </property>
</Properties>
</file>